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2071"/>
        <w:gridCol w:w="4352"/>
      </w:tblGrid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6D0E96">
            <w:pPr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 xml:space="preserve">Назив предмета:             </w:t>
            </w:r>
            <w:r w:rsidRPr="00E2436F">
              <w:rPr>
                <w:b/>
                <w:bCs/>
                <w:sz w:val="20"/>
                <w:szCs w:val="20"/>
                <w:lang w:val="sr-Latn-CS"/>
              </w:rPr>
              <w:t>E</w:t>
            </w:r>
            <w:r w:rsidRPr="00E2436F">
              <w:rPr>
                <w:b/>
                <w:bCs/>
                <w:sz w:val="20"/>
                <w:szCs w:val="20"/>
                <w:lang w:val="sr-Cyrl-CS"/>
              </w:rPr>
              <w:t>ПИГЕНЕТИКА</w:t>
            </w:r>
            <w:r w:rsidR="006C5E98" w:rsidRPr="00E2436F">
              <w:rPr>
                <w:b/>
                <w:bCs/>
                <w:sz w:val="20"/>
                <w:szCs w:val="20"/>
                <w:lang w:val="sr-Cyrl-CS"/>
              </w:rPr>
              <w:t xml:space="preserve"> (ДН-МБ-И9)</w:t>
            </w:r>
          </w:p>
        </w:tc>
      </w:tr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922088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E2436F">
              <w:rPr>
                <w:sz w:val="20"/>
                <w:szCs w:val="20"/>
                <w:lang w:val="sr-Cyrl-CS"/>
              </w:rPr>
              <w:t xml:space="preserve">             </w:t>
            </w:r>
            <w:r w:rsidRPr="00E2436F">
              <w:rPr>
                <w:b/>
                <w:bCs/>
                <w:sz w:val="20"/>
                <w:szCs w:val="20"/>
                <w:lang w:val="sr-Cyrl-CS"/>
              </w:rPr>
              <w:t>Видаковић С. Мелита</w:t>
            </w:r>
            <w:bookmarkStart w:id="0" w:name="_GoBack"/>
            <w:bookmarkEnd w:id="0"/>
            <w:r w:rsidRPr="00E2436F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E2436F">
              <w:rPr>
                <w:b/>
                <w:bCs/>
                <w:sz w:val="20"/>
                <w:szCs w:val="20"/>
                <w:lang w:val="sr-Cyrl-CS"/>
              </w:rPr>
              <w:t>и предавачи по позиву</w:t>
            </w:r>
          </w:p>
        </w:tc>
      </w:tr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724F84">
            <w:pPr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Pr="00E2436F">
              <w:rPr>
                <w:sz w:val="20"/>
                <w:szCs w:val="20"/>
                <w:lang w:val="sr-Cyrl-CS"/>
              </w:rPr>
              <w:t xml:space="preserve"> Изборни</w:t>
            </w:r>
          </w:p>
        </w:tc>
      </w:tr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6D0E96">
            <w:pPr>
              <w:jc w:val="both"/>
              <w:rPr>
                <w:sz w:val="20"/>
                <w:szCs w:val="20"/>
                <w:lang w:val="sr-Latn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Број ЕСПБ</w:t>
            </w:r>
            <w:r w:rsidRPr="00E2436F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E2436F">
              <w:rPr>
                <w:b/>
                <w:bCs/>
                <w:sz w:val="20"/>
                <w:szCs w:val="20"/>
                <w:lang w:val="sr-Latn-CS"/>
              </w:rPr>
              <w:t>8</w:t>
            </w:r>
          </w:p>
        </w:tc>
      </w:tr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6D0E96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Услов</w:t>
            </w:r>
            <w:r w:rsidRPr="00E2436F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E2436F">
              <w:rPr>
                <w:sz w:val="20"/>
                <w:szCs w:val="20"/>
                <w:lang w:val="ru-RU"/>
              </w:rPr>
              <w:t>нема</w:t>
            </w:r>
          </w:p>
        </w:tc>
      </w:tr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6D0E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Циљ предмета:</w:t>
            </w:r>
          </w:p>
          <w:p w:rsidR="00987196" w:rsidRPr="00E2436F" w:rsidRDefault="00987196" w:rsidP="00E243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sz w:val="20"/>
                <w:szCs w:val="20"/>
                <w:lang w:val="sr-Cyrl-CS"/>
              </w:rPr>
              <w:t>Циљ курса је да упозна студенте са основама епигенетике, тј</w:t>
            </w:r>
            <w:r w:rsidRPr="00E2436F">
              <w:rPr>
                <w:sz w:val="20"/>
                <w:szCs w:val="20"/>
                <w:lang w:val="sr-Latn-CS"/>
              </w:rPr>
              <w:t>.</w:t>
            </w:r>
            <w:r w:rsidRPr="00E2436F">
              <w:rPr>
                <w:sz w:val="20"/>
                <w:szCs w:val="20"/>
                <w:lang w:val="sr-Cyrl-CS"/>
              </w:rPr>
              <w:t xml:space="preserve"> процеса којим се регулише активност наслеђене генске структуре, без промене саме ДНК секвенце. Прецизније, основни циљ овог курса је упознавањ</w:t>
            </w:r>
            <w:r w:rsidR="00E2436F" w:rsidRPr="00E2436F">
              <w:rPr>
                <w:sz w:val="20"/>
                <w:szCs w:val="20"/>
                <w:lang w:val="sr-Cyrl-CS"/>
              </w:rPr>
              <w:t>е са до сада откривеним епигенетичк</w:t>
            </w:r>
            <w:r w:rsidRPr="00E2436F">
              <w:rPr>
                <w:sz w:val="20"/>
                <w:szCs w:val="20"/>
                <w:lang w:val="sr-Cyrl-CS"/>
              </w:rPr>
              <w:t>им механизмима, који директно утичу на регулацију генске експресије.</w:t>
            </w:r>
          </w:p>
        </w:tc>
      </w:tr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6D0E96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Исход предмета:</w:t>
            </w:r>
          </w:p>
          <w:p w:rsidR="00987196" w:rsidRPr="00E2436F" w:rsidRDefault="00987196" w:rsidP="006D0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sz w:val="20"/>
                <w:szCs w:val="20"/>
                <w:lang w:val="sr-Cyrl-CS"/>
              </w:rPr>
              <w:t>Студентима ће бити пр</w:t>
            </w:r>
            <w:r w:rsidR="00E2436F" w:rsidRPr="00E2436F">
              <w:rPr>
                <w:sz w:val="20"/>
                <w:szCs w:val="20"/>
                <w:lang w:val="sr-Cyrl-CS"/>
              </w:rPr>
              <w:t>езентована разлика између генетичких и епигенетич</w:t>
            </w:r>
            <w:r w:rsidRPr="00E2436F">
              <w:rPr>
                <w:sz w:val="20"/>
                <w:szCs w:val="20"/>
                <w:lang w:val="sr-Cyrl-CS"/>
              </w:rPr>
              <w:t>ких фактора и механизама. Током курса покушаћемо да разјаснимо механизме укључене у више нивое регулације експресије гена. Такође, студенти ће се упознати са улогом епигенетике у развоју како болесног тако и здравог организма ка</w:t>
            </w:r>
            <w:r w:rsidR="00E2436F" w:rsidRPr="00E2436F">
              <w:rPr>
                <w:sz w:val="20"/>
                <w:szCs w:val="20"/>
                <w:lang w:val="sr-Cyrl-CS"/>
              </w:rPr>
              <w:t>о и са реверзибилношћу епигенетич</w:t>
            </w:r>
            <w:r w:rsidRPr="00E2436F">
              <w:rPr>
                <w:sz w:val="20"/>
                <w:szCs w:val="20"/>
                <w:lang w:val="sr-Cyrl-CS"/>
              </w:rPr>
              <w:t>ких промена која отвара ново поље у медицинским истраживањима. Најзад, студенти ће се упознати и са факторима околине као и утицајем исхране на настанак и н</w:t>
            </w:r>
            <w:r w:rsidR="00E2436F" w:rsidRPr="00E2436F">
              <w:rPr>
                <w:sz w:val="20"/>
                <w:szCs w:val="20"/>
                <w:lang w:val="sr-Cyrl-CS"/>
              </w:rPr>
              <w:t>аслеђивање епигенетич</w:t>
            </w:r>
            <w:r w:rsidRPr="00E2436F">
              <w:rPr>
                <w:sz w:val="20"/>
                <w:szCs w:val="20"/>
                <w:lang w:val="sr-Cyrl-CS"/>
              </w:rPr>
              <w:t xml:space="preserve">ких промена. Порука коју желимо да пренесемо студентима током курса може се сажети у једној реченици: </w:t>
            </w:r>
            <w:r w:rsidRPr="00E2436F">
              <w:rPr>
                <w:b/>
                <w:bCs/>
                <w:sz w:val="20"/>
                <w:szCs w:val="20"/>
                <w:lang w:val="sr-Cyrl-CS"/>
              </w:rPr>
              <w:t>Нисмо ми само пакет транслираних гена, ми смо више детерминисани квалитетом живота који водимо!</w:t>
            </w:r>
          </w:p>
        </w:tc>
      </w:tr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6D0E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:rsidR="00987196" w:rsidRPr="00E2436F" w:rsidRDefault="00987196" w:rsidP="00C35ABA">
            <w:pPr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sz w:val="20"/>
                <w:szCs w:val="20"/>
                <w:lang w:val="sr-Cyrl-CS"/>
              </w:rPr>
              <w:t>Након успешног дешифровања људског генома у 2001, постало је јасно да ДНК секвенца не може сама по себи у потпуности да објасни механизме развића и функциониса</w:t>
            </w:r>
            <w:r w:rsidR="00E2436F" w:rsidRPr="00E2436F">
              <w:rPr>
                <w:sz w:val="20"/>
                <w:szCs w:val="20"/>
                <w:lang w:val="sr-Cyrl-CS"/>
              </w:rPr>
              <w:t>ња организама. Откриће епигенетич</w:t>
            </w:r>
            <w:r w:rsidRPr="00E2436F">
              <w:rPr>
                <w:sz w:val="20"/>
                <w:szCs w:val="20"/>
                <w:lang w:val="sr-Cyrl-CS"/>
              </w:rPr>
              <w:t>ких механизама тј. процеса којима се наслеђена генет</w:t>
            </w:r>
            <w:r w:rsidR="00E2436F" w:rsidRPr="00E2436F">
              <w:rPr>
                <w:sz w:val="20"/>
                <w:szCs w:val="20"/>
                <w:lang w:val="sr-Cyrl-CS"/>
              </w:rPr>
              <w:t>ич</w:t>
            </w:r>
            <w:r w:rsidRPr="00E2436F">
              <w:rPr>
                <w:sz w:val="20"/>
                <w:szCs w:val="20"/>
                <w:lang w:val="sr-Cyrl-CS"/>
              </w:rPr>
              <w:t>ка информација моделира без промене ДНК секвенце, отворило је нове погледе на геном и његову функционалност и обезбедило је својеврстан вид објашњења до тада неразјашњених појава.</w:t>
            </w:r>
          </w:p>
          <w:p w:rsidR="00987196" w:rsidRPr="00E2436F" w:rsidRDefault="00987196" w:rsidP="00E2436F">
            <w:pPr>
              <w:spacing w:before="120"/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sz w:val="20"/>
                <w:szCs w:val="20"/>
                <w:lang w:val="sr-Cyrl-CS"/>
              </w:rPr>
              <w:t>Поред општег прегледа епигенетике у спрези са регулацијом генске експресије и општом организацијом хроматина, студентима ће бити презентовани основни механизми ДНК и хистонских модифик</w:t>
            </w:r>
            <w:r w:rsidR="00E2436F" w:rsidRPr="00E2436F">
              <w:rPr>
                <w:sz w:val="20"/>
                <w:szCs w:val="20"/>
                <w:lang w:val="sr-Cyrl-CS"/>
              </w:rPr>
              <w:t>ација који чине основу епигенетич</w:t>
            </w:r>
            <w:r w:rsidRPr="00E2436F">
              <w:rPr>
                <w:sz w:val="20"/>
                <w:szCs w:val="20"/>
                <w:lang w:val="sr-Cyrl-CS"/>
              </w:rPr>
              <w:t>ких промена. Такође, биће презентован и велики значај регулаторних молекула РНК (сиРНК, миРНК схРНК) у РНК интерференцији тј. утишавању генске транскрипције. Током курса ће бити представљен утицај епигенетике у развоју различитих болести као што су, канцер, дијабетес и други метаболички поремећаји и болести старења. Анализом механиз</w:t>
            </w:r>
            <w:r w:rsidR="00E2436F" w:rsidRPr="00E2436F">
              <w:rPr>
                <w:sz w:val="20"/>
                <w:szCs w:val="20"/>
                <w:lang w:val="sr-Cyrl-CS"/>
              </w:rPr>
              <w:t>ама који леже у основи епигенетић</w:t>
            </w:r>
            <w:r w:rsidRPr="00E2436F">
              <w:rPr>
                <w:sz w:val="20"/>
                <w:szCs w:val="20"/>
                <w:lang w:val="sr-Cyrl-CS"/>
              </w:rPr>
              <w:t>ких модификација, потрудићемо се да студентима приближимо коли</w:t>
            </w:r>
            <w:r w:rsidR="00E2436F" w:rsidRPr="00E2436F">
              <w:rPr>
                <w:sz w:val="20"/>
                <w:szCs w:val="20"/>
                <w:lang w:val="sr-Cyrl-CS"/>
              </w:rPr>
              <w:t>ко су епигенетич</w:t>
            </w:r>
            <w:r w:rsidRPr="00E2436F">
              <w:rPr>
                <w:sz w:val="20"/>
                <w:szCs w:val="20"/>
                <w:lang w:val="sr-Cyrl-CS"/>
              </w:rPr>
              <w:t>ке промене реверзибилне и промењљиве, што има за последицу могући утицај на активацију/деактивацију одређених хромозомских локуса и манипулацију специфичне болести. Управо чињеница, да су епигенет</w:t>
            </w:r>
            <w:r w:rsidR="00E2436F" w:rsidRPr="00E2436F">
              <w:rPr>
                <w:sz w:val="20"/>
                <w:szCs w:val="20"/>
                <w:lang w:val="sr-Cyrl-CS"/>
              </w:rPr>
              <w:t>ич</w:t>
            </w:r>
            <w:r w:rsidRPr="00E2436F">
              <w:rPr>
                <w:sz w:val="20"/>
                <w:szCs w:val="20"/>
                <w:lang w:val="sr-Cyrl-CS"/>
              </w:rPr>
              <w:t>ке промене реверзибилне отвара могућност нов</w:t>
            </w:r>
            <w:r w:rsidR="00E2436F" w:rsidRPr="00E2436F">
              <w:rPr>
                <w:sz w:val="20"/>
                <w:szCs w:val="20"/>
                <w:lang w:val="sr-Cyrl-CS"/>
              </w:rPr>
              <w:t>ом, епигенетич</w:t>
            </w:r>
            <w:r w:rsidRPr="00E2436F">
              <w:rPr>
                <w:sz w:val="20"/>
                <w:szCs w:val="20"/>
                <w:lang w:val="sr-Cyrl-CS"/>
              </w:rPr>
              <w:t>ком лечењу о чему ће се такође разговарати током курса.</w:t>
            </w:r>
          </w:p>
        </w:tc>
      </w:tr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6D0E96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Препоручена литература:</w:t>
            </w:r>
          </w:p>
          <w:p w:rsidR="00987196" w:rsidRPr="00E2436F" w:rsidRDefault="00987196" w:rsidP="00A876A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987196" w:rsidRPr="00E2436F" w:rsidRDefault="00987196" w:rsidP="00A876A1">
            <w:pPr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sz w:val="20"/>
                <w:szCs w:val="20"/>
                <w:lang w:val="sr-Cyrl-CS"/>
              </w:rPr>
              <w:t>Посебан уџбеник није планиран за овај курс. Дискусије и предавања ће бити заснована на одабраним поглављима из:</w:t>
            </w:r>
          </w:p>
          <w:p w:rsidR="00987196" w:rsidRPr="00E2436F" w:rsidRDefault="00987196" w:rsidP="00A876A1">
            <w:pPr>
              <w:numPr>
                <w:ilvl w:val="0"/>
                <w:numId w:val="28"/>
              </w:numPr>
              <w:ind w:left="426" w:hanging="426"/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Epigenetics</w:t>
            </w:r>
            <w:r w:rsidRPr="00E2436F">
              <w:rPr>
                <w:sz w:val="20"/>
                <w:szCs w:val="20"/>
                <w:lang w:val="sr-Cyrl-CS"/>
              </w:rPr>
              <w:t>, CD-Allis, T Jenuvein, D. Reinberg, EDS,. CSHL Press, 2007;. Geni KSJE Krebs, ES Kiilpatrick, urednici, Džons i Bartlet, 2011</w:t>
            </w:r>
          </w:p>
          <w:p w:rsidR="00987196" w:rsidRPr="00E2436F" w:rsidRDefault="00987196" w:rsidP="00A876A1">
            <w:pPr>
              <w:numPr>
                <w:ilvl w:val="0"/>
                <w:numId w:val="28"/>
              </w:numPr>
              <w:ind w:left="426" w:hanging="426"/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DNA Methylation</w:t>
            </w:r>
            <w:r w:rsidRPr="00E2436F">
              <w:rPr>
                <w:sz w:val="20"/>
                <w:szCs w:val="20"/>
                <w:lang w:val="sr-Cyrl-CS"/>
              </w:rPr>
              <w:t xml:space="preserve"> - From Genomics to Technology, ISBN 978-953-51-0320-2, 400 pages, Publisher: InTech, Chapters published March 16, 2012 under CC BY 3.0 license, DOI: 10.5772/2159</w:t>
            </w:r>
          </w:p>
          <w:p w:rsidR="00987196" w:rsidRPr="00E2436F" w:rsidRDefault="00987196" w:rsidP="00A876A1">
            <w:pPr>
              <w:numPr>
                <w:ilvl w:val="0"/>
                <w:numId w:val="28"/>
              </w:numPr>
              <w:ind w:left="426" w:hanging="426"/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Nutrients and epigenetics</w:t>
            </w:r>
            <w:r w:rsidRPr="00E2436F">
              <w:rPr>
                <w:sz w:val="20"/>
                <w:szCs w:val="20"/>
                <w:lang w:val="sr-Cyrl-CS"/>
              </w:rPr>
              <w:t>, [edited by] Sang-Woon Choi and Simonetta Friso. ISBN-13: 978-1-4200-6354-7, CRC Press Taylor &amp; Francis Group, 2009</w:t>
            </w:r>
          </w:p>
          <w:p w:rsidR="00987196" w:rsidRPr="00E2436F" w:rsidRDefault="00987196" w:rsidP="00A876A1">
            <w:pPr>
              <w:numPr>
                <w:ilvl w:val="0"/>
                <w:numId w:val="28"/>
              </w:numPr>
              <w:ind w:left="426" w:hanging="426"/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Epigenetics in Human Disease</w:t>
            </w:r>
            <w:r w:rsidRPr="00E2436F">
              <w:rPr>
                <w:sz w:val="20"/>
                <w:szCs w:val="20"/>
                <w:lang w:val="sr-Cyrl-CS"/>
              </w:rPr>
              <w:t>, edited by Trygve O. Tollefsbol, Academic Press is an imprint of Elsevier, 32 Jamestown Road, London NW1 7BY, UK, First edition 2012</w:t>
            </w:r>
          </w:p>
          <w:p w:rsidR="00987196" w:rsidRPr="00E2436F" w:rsidRDefault="00987196" w:rsidP="00A876A1">
            <w:pPr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sz w:val="20"/>
                <w:szCs w:val="20"/>
                <w:lang w:val="sr-Cyrl-CS"/>
              </w:rPr>
              <w:t>Овде су наведене књиге које су тренутно у форми стандардних уџбеника и које се препоручују као општа литература за различите курсеве из епигенетике. За свако појединачно предавање студенти ће, уз материјал, добити и списак одговарајуће литературе (научни радови, монографије, линкови).</w:t>
            </w:r>
          </w:p>
        </w:tc>
      </w:tr>
      <w:tr w:rsidR="00987196" w:rsidRPr="00E2436F" w:rsidTr="00E2436F">
        <w:tc>
          <w:tcPr>
            <w:tcW w:w="3837" w:type="dxa"/>
          </w:tcPr>
          <w:p w:rsidR="00987196" w:rsidRPr="00E2436F" w:rsidRDefault="00987196" w:rsidP="001C4340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Број часова активне наставе</w:t>
            </w:r>
            <w:r w:rsidRPr="00E2436F">
              <w:rPr>
                <w:b/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2071" w:type="dxa"/>
          </w:tcPr>
          <w:p w:rsidR="00987196" w:rsidRPr="00E2436F" w:rsidRDefault="00987196" w:rsidP="006D0E96">
            <w:pPr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sz w:val="20"/>
                <w:szCs w:val="20"/>
                <w:lang w:val="sr-Cyrl-CS"/>
              </w:rPr>
              <w:t>Предавања:</w:t>
            </w:r>
            <w:r w:rsidRPr="00E2436F">
              <w:rPr>
                <w:sz w:val="20"/>
                <w:szCs w:val="20"/>
                <w:lang w:val="sr-Latn-CS"/>
              </w:rPr>
              <w:t xml:space="preserve"> </w:t>
            </w:r>
            <w:r w:rsidRPr="00E2436F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52" w:type="dxa"/>
          </w:tcPr>
          <w:p w:rsidR="00987196" w:rsidRPr="00E2436F" w:rsidRDefault="00987196" w:rsidP="006D0E96">
            <w:pPr>
              <w:jc w:val="both"/>
              <w:rPr>
                <w:sz w:val="20"/>
                <w:szCs w:val="20"/>
                <w:lang w:val="sr-Latn-CS"/>
              </w:rPr>
            </w:pPr>
            <w:r w:rsidRPr="00E2436F">
              <w:rPr>
                <w:sz w:val="20"/>
                <w:szCs w:val="20"/>
                <w:lang w:val="ru-RU"/>
              </w:rPr>
              <w:t xml:space="preserve">Студијски истраживачки рад: </w:t>
            </w:r>
            <w:r w:rsidRPr="00E2436F">
              <w:rPr>
                <w:sz w:val="20"/>
                <w:szCs w:val="20"/>
                <w:lang w:val="sr-Latn-CS"/>
              </w:rPr>
              <w:t>3</w:t>
            </w:r>
          </w:p>
        </w:tc>
      </w:tr>
      <w:tr w:rsidR="00987196" w:rsidRPr="00E2436F" w:rsidTr="00E2436F">
        <w:tc>
          <w:tcPr>
            <w:tcW w:w="10260" w:type="dxa"/>
            <w:gridSpan w:val="3"/>
          </w:tcPr>
          <w:p w:rsidR="00987196" w:rsidRPr="00E2436F" w:rsidRDefault="00987196" w:rsidP="006D0E96">
            <w:pPr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Методе извођења наставе:</w:t>
            </w:r>
          </w:p>
          <w:p w:rsidR="00987196" w:rsidRPr="00E2436F" w:rsidRDefault="00987196" w:rsidP="006D0E96">
            <w:pPr>
              <w:jc w:val="both"/>
              <w:rPr>
                <w:sz w:val="20"/>
                <w:szCs w:val="20"/>
                <w:lang w:val="sr-Cyrl-CS"/>
              </w:rPr>
            </w:pPr>
            <w:r w:rsidRPr="00E2436F">
              <w:rPr>
                <w:sz w:val="20"/>
                <w:szCs w:val="20"/>
                <w:lang w:val="sr-Cyrl-CS"/>
              </w:rPr>
              <w:t>Поред предавања, дискусија и интерпретације експерименталних података, студенти ће бити укључени и у решавање експерименталних проблема, писање и усмену одбрану семинарских радова. Предавачи ће инсистирати на интерактивној настави. Један термин је планиран за експериментални рад у виду показне вежбе у Одељењу за молекуларну биологију ИБИСС-а. Студентима ће бити пружена могућност да своје интересовање за ову научну област покажу и кроз такмичење у знању које ће бити организовано у форми квиза на самом крају курса. Овај формат курса наглашава критичку анализу радова која ће бити праћена дискусијом, а која ће се фокусирати на тренутна неразјашњена питања у епигенетици.</w:t>
            </w:r>
          </w:p>
        </w:tc>
      </w:tr>
      <w:tr w:rsidR="00987196" w:rsidRPr="00E2436F" w:rsidTr="00E2436F">
        <w:trPr>
          <w:trHeight w:val="998"/>
        </w:trPr>
        <w:tc>
          <w:tcPr>
            <w:tcW w:w="10260" w:type="dxa"/>
            <w:gridSpan w:val="3"/>
          </w:tcPr>
          <w:p w:rsidR="00987196" w:rsidRPr="00E2436F" w:rsidRDefault="00987196" w:rsidP="006D0E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E2436F">
              <w:rPr>
                <w:b/>
                <w:bCs/>
                <w:sz w:val="20"/>
                <w:szCs w:val="20"/>
                <w:lang w:val="sr-Cyrl-CS"/>
              </w:rPr>
              <w:t>Оцена знања:</w:t>
            </w:r>
          </w:p>
          <w:p w:rsidR="00987196" w:rsidRPr="00E2436F" w:rsidRDefault="00987196" w:rsidP="002F23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E2436F">
              <w:rPr>
                <w:sz w:val="20"/>
                <w:szCs w:val="20"/>
                <w:lang w:val="ru-RU"/>
              </w:rPr>
              <w:t>Оцене студената ће бити базиране на три испитна задатка: (1) дискуси</w:t>
            </w:r>
            <w:r w:rsidR="006C5E98" w:rsidRPr="00E2436F">
              <w:rPr>
                <w:sz w:val="20"/>
                <w:szCs w:val="20"/>
                <w:lang w:val="ru-RU"/>
              </w:rPr>
              <w:t>ја везана за семинарски рад (30</w:t>
            </w:r>
            <w:r w:rsidRPr="00E2436F">
              <w:rPr>
                <w:sz w:val="20"/>
                <w:szCs w:val="20"/>
                <w:lang w:val="ru-RU"/>
              </w:rPr>
              <w:t>), где ће студети себе међусобно оцењивати. Семинарски радови се неће бранити класичном презентацијом, већ ће сваки студент одговарати на тему свог семинарског рада кроз питања која му колеге постављају; (2) резултат</w:t>
            </w:r>
            <w:r w:rsidR="006C5E98" w:rsidRPr="00E2436F">
              <w:rPr>
                <w:sz w:val="20"/>
                <w:szCs w:val="20"/>
                <w:lang w:val="ru-RU"/>
              </w:rPr>
              <w:t>у квиза (такмичење у знању) (30</w:t>
            </w:r>
            <w:r w:rsidRPr="00E2436F">
              <w:rPr>
                <w:sz w:val="20"/>
                <w:szCs w:val="20"/>
                <w:lang w:val="ru-RU"/>
              </w:rPr>
              <w:t>) и (</w:t>
            </w:r>
            <w:r w:rsidR="006C5E98" w:rsidRPr="00E2436F">
              <w:rPr>
                <w:sz w:val="20"/>
                <w:szCs w:val="20"/>
                <w:lang w:val="ru-RU"/>
              </w:rPr>
              <w:t>3) завршног писменог испита (30</w:t>
            </w:r>
            <w:r w:rsidRPr="00E2436F">
              <w:rPr>
                <w:sz w:val="20"/>
                <w:szCs w:val="20"/>
                <w:lang w:val="ru-RU"/>
              </w:rPr>
              <w:t>).</w:t>
            </w:r>
          </w:p>
        </w:tc>
      </w:tr>
    </w:tbl>
    <w:p w:rsidR="00E2436F" w:rsidRPr="002F236B" w:rsidRDefault="00E2436F" w:rsidP="00E2436F">
      <w:pPr>
        <w:jc w:val="both"/>
        <w:rPr>
          <w:sz w:val="22"/>
          <w:szCs w:val="22"/>
          <w:lang w:val="sr-Cyrl-CS"/>
        </w:rPr>
      </w:pPr>
    </w:p>
    <w:sectPr w:rsidR="00E2436F" w:rsidRPr="002F236B" w:rsidSect="00E2436F">
      <w:headerReference w:type="default" r:id="rId8"/>
      <w:footerReference w:type="default" r:id="rId9"/>
      <w:pgSz w:w="11906" w:h="16838" w:code="9"/>
      <w:pgMar w:top="1080" w:right="1418" w:bottom="90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AB" w:rsidRDefault="004649AB">
      <w:r>
        <w:separator/>
      </w:r>
    </w:p>
  </w:endnote>
  <w:endnote w:type="continuationSeparator" w:id="0">
    <w:p w:rsidR="004649AB" w:rsidRDefault="0046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6" w:rsidRDefault="00987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AB" w:rsidRDefault="004649AB">
      <w:r>
        <w:separator/>
      </w:r>
    </w:p>
  </w:footnote>
  <w:footnote w:type="continuationSeparator" w:id="0">
    <w:p w:rsidR="004649AB" w:rsidRDefault="0046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6" w:rsidRDefault="00987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049"/>
    <w:multiLevelType w:val="hybridMultilevel"/>
    <w:tmpl w:val="5E0697A0"/>
    <w:lvl w:ilvl="0" w:tplc="54361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D2B88"/>
    <w:multiLevelType w:val="hybridMultilevel"/>
    <w:tmpl w:val="8AF2C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26C33"/>
    <w:multiLevelType w:val="hybridMultilevel"/>
    <w:tmpl w:val="3CF85C5E"/>
    <w:lvl w:ilvl="0" w:tplc="4992D6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512F"/>
    <w:multiLevelType w:val="multilevel"/>
    <w:tmpl w:val="4A58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62946"/>
    <w:multiLevelType w:val="hybridMultilevel"/>
    <w:tmpl w:val="899A4864"/>
    <w:lvl w:ilvl="0" w:tplc="B35A1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25CCC"/>
    <w:multiLevelType w:val="hybridMultilevel"/>
    <w:tmpl w:val="D2D60518"/>
    <w:lvl w:ilvl="0" w:tplc="9CE6AD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52ED5"/>
    <w:multiLevelType w:val="hybridMultilevel"/>
    <w:tmpl w:val="CF4AD0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46591"/>
    <w:multiLevelType w:val="hybridMultilevel"/>
    <w:tmpl w:val="7DB2BA36"/>
    <w:lvl w:ilvl="0" w:tplc="7AA0B6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E4469"/>
    <w:multiLevelType w:val="hybridMultilevel"/>
    <w:tmpl w:val="AA4492EE"/>
    <w:lvl w:ilvl="0" w:tplc="952C62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B5F49"/>
    <w:multiLevelType w:val="hybridMultilevel"/>
    <w:tmpl w:val="92F688B2"/>
    <w:lvl w:ilvl="0" w:tplc="D64253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B0C0B"/>
    <w:multiLevelType w:val="hybridMultilevel"/>
    <w:tmpl w:val="0FC6A50A"/>
    <w:lvl w:ilvl="0" w:tplc="16FC15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E6A87"/>
    <w:multiLevelType w:val="hybridMultilevel"/>
    <w:tmpl w:val="9AA085BE"/>
    <w:lvl w:ilvl="0" w:tplc="2BDE5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C5D49"/>
    <w:multiLevelType w:val="hybridMultilevel"/>
    <w:tmpl w:val="E62CA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A233B"/>
    <w:multiLevelType w:val="hybridMultilevel"/>
    <w:tmpl w:val="DD406990"/>
    <w:lvl w:ilvl="0" w:tplc="306271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56A6E"/>
    <w:multiLevelType w:val="multilevel"/>
    <w:tmpl w:val="AA449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D7955"/>
    <w:multiLevelType w:val="hybridMultilevel"/>
    <w:tmpl w:val="0CEAB090"/>
    <w:lvl w:ilvl="0" w:tplc="66DC9F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E5AD2"/>
    <w:multiLevelType w:val="hybridMultilevel"/>
    <w:tmpl w:val="DF0A1756"/>
    <w:lvl w:ilvl="0" w:tplc="5DC256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52733"/>
    <w:multiLevelType w:val="hybridMultilevel"/>
    <w:tmpl w:val="A3C423DC"/>
    <w:lvl w:ilvl="0" w:tplc="32B011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F650B"/>
    <w:multiLevelType w:val="hybridMultilevel"/>
    <w:tmpl w:val="6C768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64F68"/>
    <w:multiLevelType w:val="hybridMultilevel"/>
    <w:tmpl w:val="A7F4E1AA"/>
    <w:lvl w:ilvl="0" w:tplc="B47EC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0">
    <w:nsid w:val="645A189A"/>
    <w:multiLevelType w:val="hybridMultilevel"/>
    <w:tmpl w:val="FD9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A1E37"/>
    <w:multiLevelType w:val="hybridMultilevel"/>
    <w:tmpl w:val="5D922296"/>
    <w:lvl w:ilvl="0" w:tplc="077808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F2BB7"/>
    <w:multiLevelType w:val="multilevel"/>
    <w:tmpl w:val="923A539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A96BE4"/>
    <w:multiLevelType w:val="hybridMultilevel"/>
    <w:tmpl w:val="892AB328"/>
    <w:lvl w:ilvl="0" w:tplc="30385058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570DC"/>
    <w:multiLevelType w:val="hybridMultilevel"/>
    <w:tmpl w:val="05BA0738"/>
    <w:lvl w:ilvl="0" w:tplc="34C61E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B77D9"/>
    <w:multiLevelType w:val="hybridMultilevel"/>
    <w:tmpl w:val="C3DEB9BE"/>
    <w:lvl w:ilvl="0" w:tplc="7422AD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D5F78"/>
    <w:multiLevelType w:val="hybridMultilevel"/>
    <w:tmpl w:val="BAF27258"/>
    <w:lvl w:ilvl="0" w:tplc="317E0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084841"/>
    <w:multiLevelType w:val="hybridMultilevel"/>
    <w:tmpl w:val="FB8E3124"/>
    <w:lvl w:ilvl="0" w:tplc="73645A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5"/>
  </w:num>
  <w:num w:numId="5">
    <w:abstractNumId w:val="15"/>
  </w:num>
  <w:num w:numId="6">
    <w:abstractNumId w:val="9"/>
  </w:num>
  <w:num w:numId="7">
    <w:abstractNumId w:val="10"/>
  </w:num>
  <w:num w:numId="8">
    <w:abstractNumId w:val="2"/>
  </w:num>
  <w:num w:numId="9">
    <w:abstractNumId w:val="24"/>
  </w:num>
  <w:num w:numId="10">
    <w:abstractNumId w:val="26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7"/>
  </w:num>
  <w:num w:numId="16">
    <w:abstractNumId w:val="11"/>
  </w:num>
  <w:num w:numId="17">
    <w:abstractNumId w:val="21"/>
  </w:num>
  <w:num w:numId="18">
    <w:abstractNumId w:val="13"/>
  </w:num>
  <w:num w:numId="19">
    <w:abstractNumId w:val="19"/>
  </w:num>
  <w:num w:numId="20">
    <w:abstractNumId w:val="27"/>
  </w:num>
  <w:num w:numId="21">
    <w:abstractNumId w:val="16"/>
  </w:num>
  <w:num w:numId="22">
    <w:abstractNumId w:val="12"/>
  </w:num>
  <w:num w:numId="23">
    <w:abstractNumId w:val="20"/>
  </w:num>
  <w:num w:numId="24">
    <w:abstractNumId w:val="1"/>
  </w:num>
  <w:num w:numId="25">
    <w:abstractNumId w:val="4"/>
  </w:num>
  <w:num w:numId="26">
    <w:abstractNumId w:val="3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8E"/>
    <w:rsid w:val="0000406D"/>
    <w:rsid w:val="0001145B"/>
    <w:rsid w:val="000205FC"/>
    <w:rsid w:val="00021E98"/>
    <w:rsid w:val="0007540A"/>
    <w:rsid w:val="0007585F"/>
    <w:rsid w:val="00077C9D"/>
    <w:rsid w:val="000903FD"/>
    <w:rsid w:val="00090A17"/>
    <w:rsid w:val="000A015D"/>
    <w:rsid w:val="000A4F34"/>
    <w:rsid w:val="000C2AAC"/>
    <w:rsid w:val="00107618"/>
    <w:rsid w:val="00114A98"/>
    <w:rsid w:val="00127CFD"/>
    <w:rsid w:val="00131B08"/>
    <w:rsid w:val="001341E8"/>
    <w:rsid w:val="00151C1D"/>
    <w:rsid w:val="00165288"/>
    <w:rsid w:val="00181C1D"/>
    <w:rsid w:val="001A671A"/>
    <w:rsid w:val="001C01EF"/>
    <w:rsid w:val="001C4340"/>
    <w:rsid w:val="00215CFE"/>
    <w:rsid w:val="002166B2"/>
    <w:rsid w:val="0022355E"/>
    <w:rsid w:val="00247661"/>
    <w:rsid w:val="00254BEB"/>
    <w:rsid w:val="00283E69"/>
    <w:rsid w:val="002A2EA8"/>
    <w:rsid w:val="002A3AAC"/>
    <w:rsid w:val="002C4CB3"/>
    <w:rsid w:val="002D2A51"/>
    <w:rsid w:val="002E0331"/>
    <w:rsid w:val="002F236B"/>
    <w:rsid w:val="00301F59"/>
    <w:rsid w:val="0031397E"/>
    <w:rsid w:val="00323777"/>
    <w:rsid w:val="00331CA9"/>
    <w:rsid w:val="00340914"/>
    <w:rsid w:val="003469C9"/>
    <w:rsid w:val="00366463"/>
    <w:rsid w:val="00376581"/>
    <w:rsid w:val="00377D03"/>
    <w:rsid w:val="0039254B"/>
    <w:rsid w:val="00395326"/>
    <w:rsid w:val="003B0C83"/>
    <w:rsid w:val="003C40F4"/>
    <w:rsid w:val="003C67C5"/>
    <w:rsid w:val="003D6B8D"/>
    <w:rsid w:val="00452DF8"/>
    <w:rsid w:val="004649AB"/>
    <w:rsid w:val="00471D04"/>
    <w:rsid w:val="0047575C"/>
    <w:rsid w:val="004A03F2"/>
    <w:rsid w:val="004C5060"/>
    <w:rsid w:val="00502143"/>
    <w:rsid w:val="00505393"/>
    <w:rsid w:val="0051009C"/>
    <w:rsid w:val="00532ECE"/>
    <w:rsid w:val="0055568E"/>
    <w:rsid w:val="00566308"/>
    <w:rsid w:val="00586302"/>
    <w:rsid w:val="005B2234"/>
    <w:rsid w:val="005C07A0"/>
    <w:rsid w:val="005E0996"/>
    <w:rsid w:val="006066C6"/>
    <w:rsid w:val="00611C4C"/>
    <w:rsid w:val="00627D51"/>
    <w:rsid w:val="0064114B"/>
    <w:rsid w:val="006561F6"/>
    <w:rsid w:val="006711AD"/>
    <w:rsid w:val="00675813"/>
    <w:rsid w:val="00684BB5"/>
    <w:rsid w:val="006975F6"/>
    <w:rsid w:val="006C5E98"/>
    <w:rsid w:val="006D0E96"/>
    <w:rsid w:val="006D14AA"/>
    <w:rsid w:val="006F7D73"/>
    <w:rsid w:val="00701CC7"/>
    <w:rsid w:val="00724F84"/>
    <w:rsid w:val="0074364D"/>
    <w:rsid w:val="00752A2A"/>
    <w:rsid w:val="00757FFD"/>
    <w:rsid w:val="00772AAB"/>
    <w:rsid w:val="007D066C"/>
    <w:rsid w:val="007E0490"/>
    <w:rsid w:val="007E369B"/>
    <w:rsid w:val="007E51DA"/>
    <w:rsid w:val="007F68A6"/>
    <w:rsid w:val="00801A7D"/>
    <w:rsid w:val="00832279"/>
    <w:rsid w:val="008346D0"/>
    <w:rsid w:val="00846486"/>
    <w:rsid w:val="00847835"/>
    <w:rsid w:val="00852D82"/>
    <w:rsid w:val="008728EA"/>
    <w:rsid w:val="00885CC8"/>
    <w:rsid w:val="008A6B70"/>
    <w:rsid w:val="008C5472"/>
    <w:rsid w:val="008E76B3"/>
    <w:rsid w:val="00922088"/>
    <w:rsid w:val="00925F21"/>
    <w:rsid w:val="0093369C"/>
    <w:rsid w:val="009441F3"/>
    <w:rsid w:val="00944452"/>
    <w:rsid w:val="009562C7"/>
    <w:rsid w:val="00987196"/>
    <w:rsid w:val="0098768E"/>
    <w:rsid w:val="009B202B"/>
    <w:rsid w:val="009C49DB"/>
    <w:rsid w:val="009D12D8"/>
    <w:rsid w:val="009F2B32"/>
    <w:rsid w:val="009F2F15"/>
    <w:rsid w:val="00A33DA1"/>
    <w:rsid w:val="00A36B9A"/>
    <w:rsid w:val="00A4461F"/>
    <w:rsid w:val="00A53617"/>
    <w:rsid w:val="00A876A1"/>
    <w:rsid w:val="00A87867"/>
    <w:rsid w:val="00AA3C27"/>
    <w:rsid w:val="00B07906"/>
    <w:rsid w:val="00B12FE4"/>
    <w:rsid w:val="00B21A8D"/>
    <w:rsid w:val="00B250DD"/>
    <w:rsid w:val="00B850A1"/>
    <w:rsid w:val="00B853C4"/>
    <w:rsid w:val="00BA4917"/>
    <w:rsid w:val="00BE1BE3"/>
    <w:rsid w:val="00BE294D"/>
    <w:rsid w:val="00BF277C"/>
    <w:rsid w:val="00C11D4D"/>
    <w:rsid w:val="00C35ABA"/>
    <w:rsid w:val="00C44DBE"/>
    <w:rsid w:val="00C55431"/>
    <w:rsid w:val="00CB328F"/>
    <w:rsid w:val="00CC4349"/>
    <w:rsid w:val="00CF5765"/>
    <w:rsid w:val="00D27C3B"/>
    <w:rsid w:val="00D41E36"/>
    <w:rsid w:val="00D567E8"/>
    <w:rsid w:val="00D605A6"/>
    <w:rsid w:val="00D60E12"/>
    <w:rsid w:val="00D61234"/>
    <w:rsid w:val="00D64CF4"/>
    <w:rsid w:val="00DC2A18"/>
    <w:rsid w:val="00DF1F83"/>
    <w:rsid w:val="00DF6A4D"/>
    <w:rsid w:val="00E022E1"/>
    <w:rsid w:val="00E03221"/>
    <w:rsid w:val="00E12F78"/>
    <w:rsid w:val="00E2436F"/>
    <w:rsid w:val="00E54E0D"/>
    <w:rsid w:val="00E64D9F"/>
    <w:rsid w:val="00E70C7A"/>
    <w:rsid w:val="00E93060"/>
    <w:rsid w:val="00E97D8C"/>
    <w:rsid w:val="00EE4D7D"/>
    <w:rsid w:val="00F07C6E"/>
    <w:rsid w:val="00F200F3"/>
    <w:rsid w:val="00F20EC7"/>
    <w:rsid w:val="00F37A0F"/>
    <w:rsid w:val="00F44B75"/>
    <w:rsid w:val="00F65990"/>
    <w:rsid w:val="00F81DF0"/>
    <w:rsid w:val="00F86CD6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07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1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7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1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1E8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07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1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7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1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1E8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6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7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6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6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Ibiss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Gordana Matic</dc:creator>
  <cp:lastModifiedBy>Gordana Matic</cp:lastModifiedBy>
  <cp:revision>3</cp:revision>
  <cp:lastPrinted>2008-05-12T15:54:00Z</cp:lastPrinted>
  <dcterms:created xsi:type="dcterms:W3CDTF">2015-05-19T10:37:00Z</dcterms:created>
  <dcterms:modified xsi:type="dcterms:W3CDTF">2015-05-19T10:45:00Z</dcterms:modified>
</cp:coreProperties>
</file>