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E17" w:rsidRDefault="00081E17" w:rsidP="00A2728F">
      <w:pPr>
        <w:pStyle w:val="Title"/>
        <w:spacing w:before="240" w:after="120" w:line="100" w:lineRule="atLeast"/>
        <w:jc w:val="left"/>
        <w:rPr>
          <w:rFonts w:ascii="Times New Roman" w:hAnsi="Times New Roman"/>
          <w:iCs/>
          <w:sz w:val="24"/>
          <w:szCs w:val="24"/>
          <w:lang w:val="sl-SI"/>
        </w:rPr>
      </w:pPr>
      <w:r>
        <w:rPr>
          <w:rFonts w:ascii="Times New Roman" w:hAnsi="Times New Roman"/>
          <w:iCs/>
          <w:sz w:val="24"/>
          <w:szCs w:val="24"/>
          <w:lang w:val="sl-SI"/>
        </w:rPr>
        <w:t>Dragana D. Cvetković</w:t>
      </w:r>
    </w:p>
    <w:p w:rsidR="00A2728F" w:rsidRDefault="00DF6E54" w:rsidP="00A2728F">
      <w:pPr>
        <w:pStyle w:val="Title"/>
        <w:spacing w:before="240" w:after="120" w:line="100" w:lineRule="atLeast"/>
        <w:jc w:val="left"/>
        <w:rPr>
          <w:rFonts w:ascii="Times New Roman" w:hAnsi="Times New Roman"/>
          <w:iCs/>
          <w:sz w:val="24"/>
          <w:szCs w:val="24"/>
          <w:lang w:val="sl-SI"/>
        </w:rPr>
      </w:pPr>
      <w:r>
        <w:rPr>
          <w:rFonts w:ascii="Times New Roman" w:hAnsi="Times New Roman"/>
          <w:iCs/>
          <w:sz w:val="24"/>
          <w:szCs w:val="24"/>
          <w:lang w:val="sl-SI"/>
        </w:rPr>
        <w:t>Izabrane publikacije</w:t>
      </w:r>
    </w:p>
    <w:p w:rsidR="00DF6E54" w:rsidRPr="00DF6E54" w:rsidRDefault="00DF6E54" w:rsidP="00581801">
      <w:pPr>
        <w:spacing w:after="120" w:line="320" w:lineRule="exact"/>
        <w:ind w:left="432" w:hanging="432"/>
        <w:jc w:val="both"/>
        <w:rPr>
          <w:i/>
          <w:sz w:val="24"/>
          <w:szCs w:val="24"/>
          <w:lang w:val="sr-Latn-CS"/>
        </w:rPr>
      </w:pPr>
      <w:r w:rsidRPr="00DF6E54">
        <w:rPr>
          <w:i/>
          <w:sz w:val="24"/>
          <w:szCs w:val="24"/>
          <w:lang w:val="sr-Latn-CS"/>
        </w:rPr>
        <w:t>U časopisima sa SCI liste</w:t>
      </w:r>
    </w:p>
    <w:p w:rsidR="00A2728F" w:rsidRPr="00581801" w:rsidRDefault="00A2728F" w:rsidP="00581801">
      <w:pPr>
        <w:spacing w:after="120" w:line="320" w:lineRule="exact"/>
        <w:ind w:left="432" w:hanging="432"/>
        <w:jc w:val="both"/>
        <w:rPr>
          <w:sz w:val="24"/>
          <w:szCs w:val="24"/>
        </w:rPr>
      </w:pPr>
      <w:r w:rsidRPr="00581801">
        <w:rPr>
          <w:b/>
          <w:sz w:val="24"/>
          <w:szCs w:val="24"/>
          <w:lang w:val="sr-Latn-CS"/>
        </w:rPr>
        <w:t>Cvetković D</w:t>
      </w:r>
      <w:r w:rsidRPr="00581801">
        <w:rPr>
          <w:sz w:val="24"/>
          <w:szCs w:val="24"/>
          <w:lang w:val="sr-Latn-CS"/>
        </w:rPr>
        <w:t xml:space="preserve">, Tucić N (1986): Female recombination </w:t>
      </w:r>
      <w:r w:rsidRPr="00581801">
        <w:rPr>
          <w:sz w:val="24"/>
          <w:szCs w:val="24"/>
        </w:rPr>
        <w:t xml:space="preserve">rates and fitness in </w:t>
      </w:r>
      <w:r w:rsidRPr="00581801">
        <w:rPr>
          <w:i/>
          <w:sz w:val="24"/>
          <w:szCs w:val="24"/>
        </w:rPr>
        <w:t>Drosophila melanogaster</w:t>
      </w:r>
      <w:r w:rsidRPr="00581801">
        <w:rPr>
          <w:sz w:val="24"/>
          <w:szCs w:val="24"/>
        </w:rPr>
        <w:t>. Z Zool Syst Evolutionforsch, 24: 198-207.</w:t>
      </w:r>
      <w:r w:rsidR="00437F64" w:rsidRPr="00581801">
        <w:rPr>
          <w:sz w:val="24"/>
          <w:szCs w:val="24"/>
        </w:rPr>
        <w:t xml:space="preserve"> </w:t>
      </w:r>
    </w:p>
    <w:p w:rsidR="00437F64" w:rsidRPr="00581801" w:rsidRDefault="00437F64" w:rsidP="00581801">
      <w:pPr>
        <w:spacing w:after="120" w:line="320" w:lineRule="exact"/>
        <w:ind w:left="432" w:hanging="432"/>
        <w:jc w:val="both"/>
        <w:rPr>
          <w:sz w:val="24"/>
          <w:szCs w:val="24"/>
        </w:rPr>
      </w:pPr>
      <w:r w:rsidRPr="00581801">
        <w:rPr>
          <w:sz w:val="24"/>
          <w:szCs w:val="24"/>
        </w:rPr>
        <w:t xml:space="preserve">Tucić N, </w:t>
      </w:r>
      <w:r w:rsidRPr="00581801">
        <w:rPr>
          <w:b/>
          <w:sz w:val="24"/>
          <w:szCs w:val="24"/>
        </w:rPr>
        <w:t>Cvetković D</w:t>
      </w:r>
      <w:r w:rsidRPr="00581801">
        <w:rPr>
          <w:sz w:val="24"/>
          <w:szCs w:val="24"/>
        </w:rPr>
        <w:t xml:space="preserve">, Milanović D (1988): The genetic variation and covariation among fitness components in </w:t>
      </w:r>
      <w:r w:rsidRPr="00581801">
        <w:rPr>
          <w:i/>
          <w:sz w:val="24"/>
          <w:szCs w:val="24"/>
        </w:rPr>
        <w:t>Drosophila melanogaster</w:t>
      </w:r>
      <w:r w:rsidRPr="00581801">
        <w:rPr>
          <w:sz w:val="24"/>
          <w:szCs w:val="24"/>
        </w:rPr>
        <w:t xml:space="preserve"> females and males. Heredity, 60: 55-60.</w:t>
      </w:r>
      <w:r w:rsidRPr="00581801">
        <w:rPr>
          <w:b/>
          <w:sz w:val="24"/>
          <w:szCs w:val="24"/>
        </w:rPr>
        <w:t xml:space="preserve">  </w:t>
      </w:r>
    </w:p>
    <w:p w:rsidR="00437F64" w:rsidRPr="00581801" w:rsidRDefault="00437F64" w:rsidP="00581801">
      <w:pPr>
        <w:spacing w:after="120" w:line="320" w:lineRule="exact"/>
        <w:ind w:left="432" w:hanging="432"/>
        <w:jc w:val="both"/>
        <w:rPr>
          <w:sz w:val="24"/>
          <w:szCs w:val="24"/>
        </w:rPr>
      </w:pPr>
      <w:r w:rsidRPr="00581801">
        <w:rPr>
          <w:sz w:val="24"/>
          <w:szCs w:val="24"/>
        </w:rPr>
        <w:t xml:space="preserve">Tucić N, </w:t>
      </w:r>
      <w:r w:rsidRPr="00581801">
        <w:rPr>
          <w:b/>
          <w:sz w:val="24"/>
          <w:szCs w:val="24"/>
        </w:rPr>
        <w:t>Cvetković D</w:t>
      </w:r>
      <w:r w:rsidRPr="00581801">
        <w:rPr>
          <w:sz w:val="24"/>
          <w:szCs w:val="24"/>
        </w:rPr>
        <w:t>, Stojiljković V, Bejaković D (1990): The effects of selection for early and late reproduction on fecundity and longevity in bean weevil (</w:t>
      </w:r>
      <w:r w:rsidRPr="00581801">
        <w:rPr>
          <w:i/>
          <w:sz w:val="24"/>
          <w:szCs w:val="24"/>
        </w:rPr>
        <w:t>Acanthoscelides obtectus</w:t>
      </w:r>
      <w:r w:rsidRPr="00581801">
        <w:rPr>
          <w:sz w:val="24"/>
          <w:szCs w:val="24"/>
        </w:rPr>
        <w:t>). Genetica, The Hague, 80: 221-227.</w:t>
      </w:r>
      <w:r w:rsidRPr="00581801">
        <w:rPr>
          <w:b/>
          <w:sz w:val="24"/>
          <w:szCs w:val="24"/>
        </w:rPr>
        <w:t xml:space="preserve">  </w:t>
      </w:r>
    </w:p>
    <w:p w:rsidR="00437F64" w:rsidRPr="00581801" w:rsidRDefault="00437F64" w:rsidP="00581801">
      <w:pPr>
        <w:spacing w:after="120" w:line="320" w:lineRule="exact"/>
        <w:ind w:left="432" w:hanging="432"/>
        <w:jc w:val="both"/>
        <w:rPr>
          <w:sz w:val="24"/>
          <w:szCs w:val="24"/>
        </w:rPr>
      </w:pPr>
      <w:r w:rsidRPr="00581801">
        <w:rPr>
          <w:sz w:val="24"/>
          <w:szCs w:val="24"/>
        </w:rPr>
        <w:t xml:space="preserve">Kalezić ML, </w:t>
      </w:r>
      <w:r w:rsidRPr="00581801">
        <w:rPr>
          <w:b/>
          <w:sz w:val="24"/>
          <w:szCs w:val="24"/>
        </w:rPr>
        <w:t>Cvetković D</w:t>
      </w:r>
      <w:r w:rsidRPr="00581801">
        <w:rPr>
          <w:sz w:val="24"/>
          <w:szCs w:val="24"/>
        </w:rPr>
        <w:t>, Đorović A, Džukić G (1994): Paedomorphosis and differences in life-history traits of two neighbouring crested newt (</w:t>
      </w:r>
      <w:r w:rsidRPr="00581801">
        <w:rPr>
          <w:i/>
          <w:sz w:val="24"/>
          <w:szCs w:val="24"/>
        </w:rPr>
        <w:t>Triturus carnifex</w:t>
      </w:r>
      <w:r w:rsidRPr="00581801">
        <w:rPr>
          <w:sz w:val="24"/>
          <w:szCs w:val="24"/>
        </w:rPr>
        <w:t>) populations. Hepetological Journal, 4: 151-158.</w:t>
      </w:r>
      <w:r w:rsidRPr="00581801">
        <w:rPr>
          <w:b/>
          <w:sz w:val="24"/>
          <w:szCs w:val="24"/>
        </w:rPr>
        <w:t xml:space="preserve"> </w:t>
      </w:r>
    </w:p>
    <w:p w:rsidR="00A2728F" w:rsidRPr="00581801" w:rsidRDefault="00A2728F" w:rsidP="00581801">
      <w:pPr>
        <w:spacing w:after="120" w:line="320" w:lineRule="exact"/>
        <w:ind w:left="432" w:hanging="432"/>
        <w:jc w:val="both"/>
        <w:rPr>
          <w:sz w:val="24"/>
          <w:szCs w:val="24"/>
        </w:rPr>
      </w:pPr>
      <w:r w:rsidRPr="00581801">
        <w:rPr>
          <w:sz w:val="24"/>
          <w:szCs w:val="24"/>
        </w:rPr>
        <w:t xml:space="preserve">Stojanović M, </w:t>
      </w:r>
      <w:r w:rsidRPr="00581801">
        <w:rPr>
          <w:b/>
          <w:sz w:val="24"/>
          <w:szCs w:val="24"/>
        </w:rPr>
        <w:t>Cvetković D</w:t>
      </w:r>
      <w:r w:rsidRPr="00581801">
        <w:rPr>
          <w:sz w:val="24"/>
          <w:szCs w:val="24"/>
        </w:rPr>
        <w:t>, Kostić VS (1995): A genetic study of idiopathic focal dystonias. J Neurol, 242: 508- 511.</w:t>
      </w:r>
      <w:r w:rsidR="00437F64" w:rsidRPr="00581801">
        <w:rPr>
          <w:sz w:val="24"/>
          <w:szCs w:val="24"/>
        </w:rPr>
        <w:t xml:space="preserve">  </w:t>
      </w:r>
    </w:p>
    <w:p w:rsidR="00437F64" w:rsidRPr="00581801" w:rsidRDefault="00437F64" w:rsidP="00581801">
      <w:pPr>
        <w:spacing w:after="120" w:line="320" w:lineRule="exact"/>
        <w:ind w:left="432" w:hanging="432"/>
        <w:jc w:val="both"/>
        <w:rPr>
          <w:sz w:val="24"/>
          <w:szCs w:val="24"/>
          <w:lang w:val="en-GB"/>
        </w:rPr>
      </w:pPr>
      <w:r w:rsidRPr="00581801">
        <w:rPr>
          <w:b/>
          <w:sz w:val="24"/>
          <w:szCs w:val="24"/>
        </w:rPr>
        <w:t>Cvetković D</w:t>
      </w:r>
      <w:r w:rsidRPr="00581801">
        <w:rPr>
          <w:sz w:val="24"/>
          <w:szCs w:val="24"/>
        </w:rPr>
        <w:t>, Kalezić ML, Đorović A, Džukić G (1996): The crested newt (</w:t>
      </w:r>
      <w:r w:rsidRPr="00581801">
        <w:rPr>
          <w:i/>
          <w:sz w:val="24"/>
          <w:szCs w:val="24"/>
        </w:rPr>
        <w:t>Triturus carnifex</w:t>
      </w:r>
      <w:r w:rsidRPr="00581801">
        <w:rPr>
          <w:sz w:val="24"/>
          <w:szCs w:val="24"/>
        </w:rPr>
        <w:t xml:space="preserve">) in the Submediterranean: reproductive biology, body size, and age. </w:t>
      </w:r>
      <w:r w:rsidRPr="00581801">
        <w:rPr>
          <w:sz w:val="24"/>
          <w:szCs w:val="24"/>
          <w:lang w:val="en-GB"/>
        </w:rPr>
        <w:t>Ital J Zool, 63: 107 - 111.</w:t>
      </w:r>
    </w:p>
    <w:p w:rsidR="00A2728F" w:rsidRPr="00581801" w:rsidRDefault="00A2728F" w:rsidP="00581801">
      <w:pPr>
        <w:spacing w:after="120" w:line="320" w:lineRule="exact"/>
        <w:ind w:left="432" w:hanging="432"/>
        <w:jc w:val="both"/>
        <w:rPr>
          <w:sz w:val="24"/>
          <w:szCs w:val="24"/>
        </w:rPr>
      </w:pPr>
      <w:r w:rsidRPr="00581801">
        <w:rPr>
          <w:sz w:val="24"/>
          <w:szCs w:val="24"/>
        </w:rPr>
        <w:t xml:space="preserve">Kalezić ML, </w:t>
      </w:r>
      <w:r w:rsidRPr="00581801">
        <w:rPr>
          <w:b/>
          <w:sz w:val="24"/>
          <w:szCs w:val="24"/>
        </w:rPr>
        <w:t>Cvetković D</w:t>
      </w:r>
      <w:r w:rsidRPr="00581801">
        <w:rPr>
          <w:sz w:val="24"/>
          <w:szCs w:val="24"/>
        </w:rPr>
        <w:t xml:space="preserve">, Đorović A, Džukić G (1996): Alternative life-history pathways: paedomorphosis and adult fitness in </w:t>
      </w:r>
      <w:r w:rsidRPr="00581801">
        <w:rPr>
          <w:sz w:val="24"/>
          <w:szCs w:val="24"/>
          <w:lang w:val="sr-Cyrl-CS"/>
        </w:rPr>
        <w:t>Е</w:t>
      </w:r>
      <w:r w:rsidRPr="00581801">
        <w:rPr>
          <w:sz w:val="24"/>
          <w:szCs w:val="24"/>
        </w:rPr>
        <w:t>uropean newts (</w:t>
      </w:r>
      <w:r w:rsidRPr="00581801">
        <w:rPr>
          <w:i/>
          <w:sz w:val="24"/>
          <w:szCs w:val="24"/>
        </w:rPr>
        <w:t>Triturus vulgaris</w:t>
      </w:r>
      <w:r w:rsidRPr="00581801">
        <w:rPr>
          <w:sz w:val="24"/>
          <w:szCs w:val="24"/>
        </w:rPr>
        <w:t xml:space="preserve"> and </w:t>
      </w:r>
      <w:r w:rsidRPr="00581801">
        <w:rPr>
          <w:i/>
          <w:sz w:val="24"/>
          <w:szCs w:val="24"/>
        </w:rPr>
        <w:t>T. alpestris</w:t>
      </w:r>
      <w:r w:rsidRPr="00581801">
        <w:rPr>
          <w:sz w:val="24"/>
          <w:szCs w:val="24"/>
        </w:rPr>
        <w:t>). J Zool Syst Evol Research, 34: 1 - 7.</w:t>
      </w:r>
      <w:r w:rsidR="00437F64" w:rsidRPr="00581801">
        <w:rPr>
          <w:sz w:val="24"/>
          <w:szCs w:val="24"/>
        </w:rPr>
        <w:t xml:space="preserve">   </w:t>
      </w:r>
    </w:p>
    <w:p w:rsidR="00437F64" w:rsidRPr="00581801" w:rsidRDefault="00437F64" w:rsidP="00581801">
      <w:pPr>
        <w:spacing w:after="120" w:line="320" w:lineRule="exact"/>
        <w:ind w:left="432" w:hanging="432"/>
        <w:jc w:val="both"/>
        <w:rPr>
          <w:sz w:val="24"/>
          <w:szCs w:val="24"/>
          <w:lang w:val="sr-Latn-CS"/>
        </w:rPr>
      </w:pPr>
      <w:r w:rsidRPr="00581801">
        <w:rPr>
          <w:sz w:val="24"/>
          <w:szCs w:val="24"/>
        </w:rPr>
        <w:t>Radoji</w:t>
      </w:r>
      <w:r w:rsidRPr="00581801">
        <w:rPr>
          <w:sz w:val="24"/>
          <w:szCs w:val="24"/>
          <w:lang w:val="sr-Latn-CS"/>
        </w:rPr>
        <w:t xml:space="preserve">čić J, </w:t>
      </w:r>
      <w:r w:rsidRPr="00581801">
        <w:rPr>
          <w:b/>
          <w:sz w:val="24"/>
          <w:szCs w:val="24"/>
          <w:lang w:val="sr-Latn-CS"/>
        </w:rPr>
        <w:t>Cvetković D</w:t>
      </w:r>
      <w:r w:rsidRPr="00581801">
        <w:rPr>
          <w:sz w:val="24"/>
          <w:szCs w:val="24"/>
          <w:lang w:val="sr-Latn-CS"/>
        </w:rPr>
        <w:t xml:space="preserve">, Tomović Lj, Džukić G, Kalezić M (2002): Sexual dimorphism in fire-bellied toads </w:t>
      </w:r>
      <w:r w:rsidRPr="00581801">
        <w:rPr>
          <w:i/>
          <w:sz w:val="24"/>
          <w:szCs w:val="24"/>
          <w:lang w:val="sr-Latn-CS"/>
        </w:rPr>
        <w:t xml:space="preserve">Bombina </w:t>
      </w:r>
      <w:r w:rsidRPr="00581801">
        <w:rPr>
          <w:sz w:val="24"/>
          <w:szCs w:val="24"/>
          <w:lang w:val="sr-Latn-CS"/>
        </w:rPr>
        <w:t xml:space="preserve">spp. from the central Balkans. Folia Zool 51 (2): 129-140.  </w:t>
      </w:r>
    </w:p>
    <w:p w:rsidR="00437F64" w:rsidRPr="00581801" w:rsidRDefault="00437F64" w:rsidP="00581801">
      <w:pPr>
        <w:spacing w:after="120" w:line="320" w:lineRule="exact"/>
        <w:ind w:left="432" w:hanging="432"/>
        <w:jc w:val="both"/>
        <w:rPr>
          <w:sz w:val="24"/>
          <w:szCs w:val="24"/>
          <w:lang w:val="sr-Latn-CS"/>
        </w:rPr>
      </w:pPr>
      <w:r w:rsidRPr="00581801">
        <w:rPr>
          <w:sz w:val="24"/>
          <w:szCs w:val="24"/>
          <w:lang w:val="sr-Latn-CS"/>
        </w:rPr>
        <w:t xml:space="preserve">Pejić S, Kasapović J, </w:t>
      </w:r>
      <w:r w:rsidRPr="00581801">
        <w:rPr>
          <w:b/>
          <w:sz w:val="24"/>
          <w:szCs w:val="24"/>
          <w:lang w:val="sr-Latn-CS"/>
        </w:rPr>
        <w:t>Cvetković D</w:t>
      </w:r>
      <w:r w:rsidRPr="00581801">
        <w:rPr>
          <w:sz w:val="24"/>
          <w:szCs w:val="24"/>
          <w:lang w:val="sr-Latn-CS"/>
        </w:rPr>
        <w:t xml:space="preserve">, Pajović S (2003): </w:t>
      </w:r>
      <w:r w:rsidRPr="00581801">
        <w:rPr>
          <w:bCs/>
          <w:sz w:val="24"/>
          <w:szCs w:val="24"/>
        </w:rPr>
        <w:t>The modulatory effect of estradiol benzoate on superoxide dismutase activity in the developing rat brain.</w:t>
      </w:r>
      <w:r w:rsidRPr="00581801">
        <w:rPr>
          <w:sz w:val="24"/>
          <w:szCs w:val="24"/>
          <w:lang w:val="sr-Latn-CS"/>
        </w:rPr>
        <w:t xml:space="preserve"> </w:t>
      </w:r>
      <w:r w:rsidRPr="00581801">
        <w:rPr>
          <w:sz w:val="24"/>
          <w:szCs w:val="24"/>
        </w:rPr>
        <w:t xml:space="preserve">Braz J Med Biol Res 36 (5): 579-86. </w:t>
      </w:r>
    </w:p>
    <w:p w:rsidR="00437F64" w:rsidRPr="00581801" w:rsidRDefault="00437F64" w:rsidP="00581801">
      <w:pPr>
        <w:spacing w:after="120" w:line="320" w:lineRule="exact"/>
        <w:ind w:left="432" w:hanging="432"/>
        <w:jc w:val="both"/>
        <w:rPr>
          <w:sz w:val="24"/>
          <w:szCs w:val="24"/>
        </w:rPr>
      </w:pPr>
      <w:r w:rsidRPr="00581801">
        <w:rPr>
          <w:sz w:val="24"/>
          <w:szCs w:val="24"/>
          <w:lang w:val="sr-Latn-CS"/>
        </w:rPr>
        <w:t xml:space="preserve">Tomašević N, </w:t>
      </w:r>
      <w:r w:rsidRPr="00581801">
        <w:rPr>
          <w:b/>
          <w:sz w:val="24"/>
          <w:szCs w:val="24"/>
          <w:lang w:val="sr-Latn-CS"/>
        </w:rPr>
        <w:t>Cvetković D</w:t>
      </w:r>
      <w:r w:rsidRPr="00581801">
        <w:rPr>
          <w:sz w:val="24"/>
          <w:szCs w:val="24"/>
          <w:lang w:val="sr-Latn-CS"/>
        </w:rPr>
        <w:t xml:space="preserve">, Miaud C, Aleksić I, Crnobrnja-Isailović J. (2008): Interannual variation in life history traits between neighbouring populations of the widespread amphibian </w:t>
      </w:r>
      <w:r w:rsidRPr="00581801">
        <w:rPr>
          <w:i/>
          <w:sz w:val="24"/>
          <w:szCs w:val="24"/>
          <w:lang w:val="sr-Latn-CS"/>
        </w:rPr>
        <w:t>Bufo bufo</w:t>
      </w:r>
      <w:r w:rsidRPr="00581801">
        <w:rPr>
          <w:sz w:val="24"/>
          <w:szCs w:val="24"/>
          <w:lang w:val="sr-Latn-CS"/>
        </w:rPr>
        <w:t xml:space="preserve">. </w:t>
      </w:r>
      <w:r w:rsidRPr="00581801">
        <w:rPr>
          <w:sz w:val="24"/>
          <w:szCs w:val="24"/>
        </w:rPr>
        <w:t xml:space="preserve">Rev. Écol. (Terre Vie) 63: 73-83. </w:t>
      </w:r>
    </w:p>
    <w:p w:rsidR="00437F64" w:rsidRPr="00581801" w:rsidRDefault="00437F64" w:rsidP="00581801">
      <w:pPr>
        <w:spacing w:after="120" w:line="320" w:lineRule="exact"/>
        <w:ind w:left="432" w:hanging="432"/>
        <w:jc w:val="both"/>
        <w:rPr>
          <w:b/>
          <w:sz w:val="24"/>
          <w:szCs w:val="24"/>
          <w:lang w:val="sr-Latn-CS"/>
        </w:rPr>
      </w:pPr>
      <w:bookmarkStart w:id="0" w:name="OLE_LINK3"/>
      <w:r w:rsidRPr="00581801">
        <w:rPr>
          <w:sz w:val="24"/>
          <w:szCs w:val="24"/>
          <w:lang w:val="sr-Latn-CS"/>
        </w:rPr>
        <w:t xml:space="preserve">Pejić S, Todorović A, Stojiljković V, </w:t>
      </w:r>
      <w:r w:rsidRPr="00581801">
        <w:rPr>
          <w:b/>
          <w:sz w:val="24"/>
          <w:szCs w:val="24"/>
          <w:lang w:val="sr-Latn-CS"/>
        </w:rPr>
        <w:t>Cvetković D</w:t>
      </w:r>
      <w:r w:rsidRPr="00581801">
        <w:rPr>
          <w:sz w:val="24"/>
          <w:szCs w:val="24"/>
          <w:lang w:val="sr-Latn-CS"/>
        </w:rPr>
        <w:t xml:space="preserve">, Lučić N, Radojičić R, Saičić Z, Pajović S (2008): Superoxide dismutase and lipid hydroperoxides in blood and endometrial tissue of patients with benign, hyperplastic and malignant endometrium. Annals of the Brasilian Academy of Sciences (An Acad Bras Cienc) 80 (3): 515-522.   </w:t>
      </w:r>
    </w:p>
    <w:p w:rsidR="00A2728F" w:rsidRPr="00581801" w:rsidRDefault="00A2728F" w:rsidP="00581801">
      <w:pPr>
        <w:spacing w:after="120" w:line="320" w:lineRule="exact"/>
        <w:ind w:left="432" w:hanging="432"/>
        <w:jc w:val="both"/>
        <w:rPr>
          <w:sz w:val="24"/>
          <w:szCs w:val="24"/>
          <w:lang w:val="sr-Latn-CS"/>
        </w:rPr>
      </w:pPr>
      <w:r w:rsidRPr="00581801">
        <w:rPr>
          <w:b/>
          <w:sz w:val="24"/>
          <w:szCs w:val="24"/>
          <w:lang w:val="sr-Latn-CS"/>
        </w:rPr>
        <w:t>Cvetković D</w:t>
      </w:r>
      <w:r w:rsidRPr="00581801">
        <w:rPr>
          <w:sz w:val="24"/>
          <w:szCs w:val="24"/>
          <w:lang w:val="sr-Latn-CS"/>
        </w:rPr>
        <w:t xml:space="preserve">, </w:t>
      </w:r>
      <w:r w:rsidRPr="00581801">
        <w:rPr>
          <w:sz w:val="24"/>
          <w:szCs w:val="24"/>
        </w:rPr>
        <w:t>Toma</w:t>
      </w:r>
      <w:r w:rsidRPr="00581801">
        <w:rPr>
          <w:sz w:val="24"/>
          <w:szCs w:val="24"/>
          <w:lang w:val="sr-Cyrl-CS"/>
        </w:rPr>
        <w:t>š</w:t>
      </w:r>
      <w:r w:rsidRPr="00581801">
        <w:rPr>
          <w:sz w:val="24"/>
          <w:szCs w:val="24"/>
        </w:rPr>
        <w:t>evi</w:t>
      </w:r>
      <w:r w:rsidRPr="00581801">
        <w:rPr>
          <w:sz w:val="24"/>
          <w:szCs w:val="24"/>
          <w:lang w:val="sr-Cyrl-CS"/>
        </w:rPr>
        <w:t xml:space="preserve">ć </w:t>
      </w:r>
      <w:r w:rsidRPr="00581801">
        <w:rPr>
          <w:sz w:val="24"/>
          <w:szCs w:val="24"/>
        </w:rPr>
        <w:t>N</w:t>
      </w:r>
      <w:r w:rsidRPr="00581801">
        <w:rPr>
          <w:sz w:val="24"/>
          <w:szCs w:val="24"/>
          <w:lang w:val="sr-Cyrl-CS"/>
        </w:rPr>
        <w:t xml:space="preserve">, </w:t>
      </w:r>
      <w:r w:rsidRPr="00581801">
        <w:rPr>
          <w:sz w:val="24"/>
          <w:szCs w:val="24"/>
        </w:rPr>
        <w:t>Ficetola</w:t>
      </w:r>
      <w:r w:rsidRPr="00581801">
        <w:rPr>
          <w:sz w:val="24"/>
          <w:szCs w:val="24"/>
          <w:lang w:val="sr-Cyrl-CS"/>
        </w:rPr>
        <w:t xml:space="preserve"> </w:t>
      </w:r>
      <w:r w:rsidRPr="00581801">
        <w:rPr>
          <w:sz w:val="24"/>
          <w:szCs w:val="24"/>
        </w:rPr>
        <w:t>GF</w:t>
      </w:r>
      <w:r w:rsidRPr="00581801">
        <w:rPr>
          <w:sz w:val="24"/>
          <w:szCs w:val="24"/>
          <w:lang w:val="sr-Cyrl-CS"/>
        </w:rPr>
        <w:t xml:space="preserve">, </w:t>
      </w:r>
      <w:r w:rsidRPr="00581801">
        <w:rPr>
          <w:sz w:val="24"/>
          <w:szCs w:val="24"/>
        </w:rPr>
        <w:t>Crnobrnja</w:t>
      </w:r>
      <w:r w:rsidRPr="00581801">
        <w:rPr>
          <w:sz w:val="24"/>
          <w:szCs w:val="24"/>
          <w:lang w:val="sr-Cyrl-CS"/>
        </w:rPr>
        <w:t>-</w:t>
      </w:r>
      <w:r w:rsidRPr="00581801">
        <w:rPr>
          <w:sz w:val="24"/>
          <w:szCs w:val="24"/>
        </w:rPr>
        <w:t>Isailovi</w:t>
      </w:r>
      <w:r w:rsidRPr="00581801">
        <w:rPr>
          <w:sz w:val="24"/>
          <w:szCs w:val="24"/>
          <w:lang w:val="sr-Cyrl-CS"/>
        </w:rPr>
        <w:t xml:space="preserve">ć </w:t>
      </w:r>
      <w:r w:rsidRPr="00581801">
        <w:rPr>
          <w:sz w:val="24"/>
          <w:szCs w:val="24"/>
        </w:rPr>
        <w:t>J</w:t>
      </w:r>
      <w:r w:rsidRPr="00581801">
        <w:rPr>
          <w:sz w:val="24"/>
          <w:szCs w:val="24"/>
          <w:lang w:val="sr-Cyrl-CS"/>
        </w:rPr>
        <w:t>,</w:t>
      </w:r>
      <w:r w:rsidRPr="00581801">
        <w:rPr>
          <w:sz w:val="24"/>
          <w:szCs w:val="24"/>
          <w:lang w:val="sr-Latn-CS"/>
        </w:rPr>
        <w:t xml:space="preserve"> Miaud C (2009): Bergmann's rule in amphibians: combining demographic and ecological parameters to explain body size </w:t>
      </w:r>
      <w:r w:rsidRPr="00581801">
        <w:rPr>
          <w:sz w:val="24"/>
          <w:szCs w:val="24"/>
          <w:lang w:val="sr-Latn-CS"/>
        </w:rPr>
        <w:lastRenderedPageBreak/>
        <w:t xml:space="preserve">variation among populations in the common toad </w:t>
      </w:r>
      <w:r w:rsidRPr="00581801">
        <w:rPr>
          <w:i/>
          <w:sz w:val="24"/>
          <w:szCs w:val="24"/>
          <w:lang w:val="sr-Latn-CS"/>
        </w:rPr>
        <w:t>Bufo bufo</w:t>
      </w:r>
      <w:r w:rsidRPr="00581801">
        <w:rPr>
          <w:sz w:val="24"/>
          <w:szCs w:val="24"/>
          <w:lang w:val="sr-Latn-CS"/>
        </w:rPr>
        <w:t>. J Zool Syst Evol Res 47(2): 171-180.</w:t>
      </w:r>
      <w:bookmarkEnd w:id="0"/>
      <w:r w:rsidR="00437F64" w:rsidRPr="00581801">
        <w:rPr>
          <w:sz w:val="24"/>
          <w:szCs w:val="24"/>
          <w:lang w:val="sr-Latn-CS"/>
        </w:rPr>
        <w:t xml:space="preserve">   </w:t>
      </w:r>
    </w:p>
    <w:p w:rsidR="00437F64" w:rsidRPr="00581801" w:rsidRDefault="00437F64" w:rsidP="00581801">
      <w:pPr>
        <w:spacing w:after="120" w:line="320" w:lineRule="exact"/>
        <w:ind w:left="432" w:hanging="432"/>
        <w:jc w:val="both"/>
        <w:rPr>
          <w:sz w:val="24"/>
          <w:szCs w:val="24"/>
        </w:rPr>
      </w:pPr>
      <w:r w:rsidRPr="00581801">
        <w:rPr>
          <w:sz w:val="24"/>
          <w:szCs w:val="24"/>
        </w:rPr>
        <w:t xml:space="preserve">Jovanović V, </w:t>
      </w:r>
      <w:r w:rsidRPr="00581801">
        <w:rPr>
          <w:b/>
          <w:sz w:val="24"/>
          <w:szCs w:val="24"/>
        </w:rPr>
        <w:t>Cvetković D</w:t>
      </w:r>
      <w:r w:rsidRPr="00581801">
        <w:rPr>
          <w:sz w:val="24"/>
          <w:szCs w:val="24"/>
        </w:rPr>
        <w:t xml:space="preserve"> (2010): Implications of </w:t>
      </w:r>
      <w:r w:rsidRPr="00581801">
        <w:rPr>
          <w:i/>
          <w:sz w:val="24"/>
          <w:szCs w:val="24"/>
        </w:rPr>
        <w:t>rbcL</w:t>
      </w:r>
      <w:r w:rsidRPr="00581801">
        <w:rPr>
          <w:sz w:val="24"/>
          <w:szCs w:val="24"/>
        </w:rPr>
        <w:t xml:space="preserve"> phylogeny for historical biogeography of genus </w:t>
      </w:r>
      <w:r w:rsidRPr="00581801">
        <w:rPr>
          <w:i/>
          <w:sz w:val="24"/>
          <w:szCs w:val="24"/>
        </w:rPr>
        <w:t>Mercurialis</w:t>
      </w:r>
      <w:r w:rsidRPr="00581801">
        <w:rPr>
          <w:sz w:val="24"/>
          <w:szCs w:val="24"/>
        </w:rPr>
        <w:t xml:space="preserve"> L.: estimating age and center of origin. Arch. Biol. Sci. 62(3): 603-609</w:t>
      </w:r>
      <w:r w:rsidRPr="00581801">
        <w:rPr>
          <w:sz w:val="24"/>
          <w:szCs w:val="24"/>
          <w:lang w:val="sr-Cyrl-CS"/>
        </w:rPr>
        <w:t>.</w:t>
      </w:r>
    </w:p>
    <w:p w:rsidR="00437F64" w:rsidRPr="00581801" w:rsidRDefault="00437F64" w:rsidP="00581801">
      <w:pPr>
        <w:spacing w:after="120" w:line="320" w:lineRule="exact"/>
        <w:ind w:left="432" w:hanging="432"/>
        <w:jc w:val="both"/>
        <w:rPr>
          <w:sz w:val="24"/>
          <w:szCs w:val="24"/>
        </w:rPr>
      </w:pPr>
      <w:r w:rsidRPr="00581801">
        <w:rPr>
          <w:sz w:val="24"/>
          <w:szCs w:val="24"/>
        </w:rPr>
        <w:t xml:space="preserve">Krcunović Z, Novaković I, Maksimović N, Bukvić D, Simić-Ogrizović S, Janković S, Djukanović Lj, </w:t>
      </w:r>
      <w:r w:rsidRPr="00581801">
        <w:rPr>
          <w:b/>
          <w:sz w:val="24"/>
          <w:szCs w:val="24"/>
        </w:rPr>
        <w:t>Cvetković D</w:t>
      </w:r>
      <w:r w:rsidRPr="00581801">
        <w:rPr>
          <w:sz w:val="24"/>
          <w:szCs w:val="24"/>
        </w:rPr>
        <w:t xml:space="preserve"> (2010): Genetic clues to the etiology of Balkan endemic nephropathy: investigating the role of ACE and AT1R polymorphisms. Arch. Biol. Sci. Belgrade 62(4): 957-965.</w:t>
      </w:r>
    </w:p>
    <w:p w:rsidR="00A2728F" w:rsidRPr="00581801" w:rsidRDefault="00A2728F" w:rsidP="00581801">
      <w:pPr>
        <w:spacing w:after="120" w:line="320" w:lineRule="exact"/>
        <w:ind w:left="432" w:hanging="432"/>
        <w:jc w:val="both"/>
        <w:rPr>
          <w:sz w:val="24"/>
          <w:szCs w:val="24"/>
          <w:lang w:val="sr-Latn-CS"/>
        </w:rPr>
      </w:pPr>
      <w:r w:rsidRPr="00581801">
        <w:rPr>
          <w:sz w:val="24"/>
          <w:szCs w:val="24"/>
          <w:lang w:val="sr-Latn-CS"/>
        </w:rPr>
        <w:t xml:space="preserve">Jojić V, Nenadović J, Blagojević J, Paunović M, </w:t>
      </w:r>
      <w:r w:rsidRPr="00581801">
        <w:rPr>
          <w:b/>
          <w:sz w:val="24"/>
          <w:szCs w:val="24"/>
          <w:lang w:val="sr-Latn-CS"/>
        </w:rPr>
        <w:t>Cvetković D</w:t>
      </w:r>
      <w:r w:rsidRPr="00581801">
        <w:rPr>
          <w:sz w:val="24"/>
          <w:szCs w:val="24"/>
          <w:lang w:val="sr-Latn-CS"/>
        </w:rPr>
        <w:t xml:space="preserve">, Vujošević M (2012): Phenetic relationships among four </w:t>
      </w:r>
      <w:r w:rsidRPr="00581801">
        <w:rPr>
          <w:i/>
          <w:sz w:val="24"/>
          <w:szCs w:val="24"/>
          <w:lang w:val="sr-Latn-CS"/>
        </w:rPr>
        <w:t>Apodemus</w:t>
      </w:r>
      <w:r w:rsidRPr="00581801">
        <w:rPr>
          <w:sz w:val="24"/>
          <w:szCs w:val="24"/>
          <w:lang w:val="sr-Latn-CS"/>
        </w:rPr>
        <w:t xml:space="preserve"> species (Rodentia, Muridae) inferred from skull variation. Zoologischer Anzeiger, 251: 26–37.  </w:t>
      </w:r>
      <w:r w:rsidR="00437F64" w:rsidRPr="00581801">
        <w:rPr>
          <w:sz w:val="24"/>
          <w:szCs w:val="24"/>
          <w:lang w:val="sr-Latn-CS"/>
        </w:rPr>
        <w:t xml:space="preserve">  </w:t>
      </w:r>
    </w:p>
    <w:p w:rsidR="00A2728F" w:rsidRPr="00581801" w:rsidRDefault="00A2728F" w:rsidP="00581801">
      <w:pPr>
        <w:spacing w:after="120" w:line="320" w:lineRule="exact"/>
        <w:ind w:left="432" w:hanging="432"/>
        <w:jc w:val="both"/>
        <w:rPr>
          <w:sz w:val="24"/>
          <w:szCs w:val="24"/>
        </w:rPr>
      </w:pPr>
      <w:r w:rsidRPr="00581801">
        <w:rPr>
          <w:sz w:val="24"/>
          <w:szCs w:val="24"/>
        </w:rPr>
        <w:t xml:space="preserve">Novaković I, Maksimović N, Pavlović A, Žarković M, Rovčanin B, Mirković D, Pekmezović T, </w:t>
      </w:r>
      <w:r w:rsidRPr="00581801">
        <w:rPr>
          <w:b/>
          <w:sz w:val="24"/>
          <w:szCs w:val="24"/>
        </w:rPr>
        <w:t>Cvetković D</w:t>
      </w:r>
      <w:r w:rsidRPr="00581801">
        <w:rPr>
          <w:sz w:val="24"/>
          <w:szCs w:val="24"/>
        </w:rPr>
        <w:t xml:space="preserve"> (2014): Introduction to molecular genetic diagnostics. J Med Biochem 33: 1–6.</w:t>
      </w:r>
    </w:p>
    <w:p w:rsidR="00A2728F" w:rsidRPr="00581801" w:rsidRDefault="00A2728F" w:rsidP="00581801">
      <w:pPr>
        <w:spacing w:after="120" w:line="320" w:lineRule="exact"/>
        <w:ind w:left="432" w:hanging="432"/>
        <w:jc w:val="both"/>
        <w:rPr>
          <w:sz w:val="24"/>
          <w:szCs w:val="24"/>
        </w:rPr>
      </w:pPr>
      <w:r w:rsidRPr="00581801">
        <w:rPr>
          <w:sz w:val="24"/>
          <w:szCs w:val="24"/>
        </w:rPr>
        <w:t>Damnjanovi</w:t>
      </w:r>
      <w:r w:rsidRPr="00581801">
        <w:rPr>
          <w:sz w:val="24"/>
          <w:szCs w:val="24"/>
          <w:lang w:val="sr-Latn-CS"/>
        </w:rPr>
        <w:t>ć</w:t>
      </w:r>
      <w:r w:rsidRPr="00581801">
        <w:rPr>
          <w:sz w:val="24"/>
          <w:szCs w:val="24"/>
        </w:rPr>
        <w:t xml:space="preserve"> T, Luković Lj, </w:t>
      </w:r>
      <w:r w:rsidRPr="00581801">
        <w:rPr>
          <w:b/>
          <w:sz w:val="24"/>
          <w:szCs w:val="24"/>
        </w:rPr>
        <w:t>Cvetković D</w:t>
      </w:r>
      <w:r w:rsidRPr="00581801">
        <w:rPr>
          <w:sz w:val="24"/>
          <w:szCs w:val="24"/>
        </w:rPr>
        <w:t>, Jeki</w:t>
      </w:r>
      <w:r w:rsidRPr="00581801">
        <w:rPr>
          <w:sz w:val="24"/>
          <w:szCs w:val="24"/>
          <w:lang w:val="sr-Cyrl-CS"/>
        </w:rPr>
        <w:t>ć</w:t>
      </w:r>
      <w:r w:rsidRPr="00581801">
        <w:rPr>
          <w:sz w:val="24"/>
          <w:szCs w:val="24"/>
        </w:rPr>
        <w:t xml:space="preserve"> B, Bunjevački V, Maksimović N, Cvjetičanin S, Majkić-Singh N, Novaković I (2014): Possible Influence of MTHFR C677T Polymorphism on Serum Lipid Levels in Serbian School Children. Arch. Biol. Sci. 66: 729-734.</w:t>
      </w:r>
    </w:p>
    <w:p w:rsidR="00A2728F" w:rsidRPr="00581801" w:rsidRDefault="00A2728F" w:rsidP="00581801">
      <w:pPr>
        <w:spacing w:after="120" w:line="320" w:lineRule="exact"/>
        <w:ind w:left="432" w:hanging="432"/>
        <w:jc w:val="both"/>
        <w:rPr>
          <w:sz w:val="24"/>
          <w:szCs w:val="24"/>
        </w:rPr>
      </w:pPr>
      <w:r w:rsidRPr="00581801">
        <w:rPr>
          <w:sz w:val="24"/>
          <w:szCs w:val="24"/>
        </w:rPr>
        <w:t xml:space="preserve">Nagorni-Obradović Lj, Maksimović N, Miljić P, </w:t>
      </w:r>
      <w:r w:rsidRPr="00581801">
        <w:rPr>
          <w:b/>
          <w:sz w:val="24"/>
          <w:szCs w:val="24"/>
        </w:rPr>
        <w:t>Cvetković D</w:t>
      </w:r>
      <w:r w:rsidRPr="00581801">
        <w:rPr>
          <w:sz w:val="24"/>
          <w:szCs w:val="24"/>
        </w:rPr>
        <w:t>, Stević R, Pešut D (2014): Phenotypic presentation of thrombophilia in double heterozygote for factor V Leiden and prothrombin 20210 G&gt;A mutations – case report. Genetika, 46(2): 621-629.</w:t>
      </w:r>
    </w:p>
    <w:p w:rsidR="00581801" w:rsidRPr="00581801" w:rsidRDefault="00581801" w:rsidP="00581801">
      <w:pPr>
        <w:spacing w:after="120" w:line="320" w:lineRule="exact"/>
        <w:ind w:left="432" w:hanging="432"/>
        <w:jc w:val="both"/>
        <w:rPr>
          <w:sz w:val="24"/>
          <w:szCs w:val="24"/>
        </w:rPr>
      </w:pPr>
      <w:r w:rsidRPr="00581801">
        <w:rPr>
          <w:sz w:val="24"/>
          <w:szCs w:val="24"/>
        </w:rPr>
        <w:t xml:space="preserve">Dobričić V, Kresojević N, Žarković M, Tomić A, Marjanović A, Westenberger A, </w:t>
      </w:r>
      <w:r w:rsidRPr="00581801">
        <w:rPr>
          <w:b/>
          <w:sz w:val="24"/>
          <w:szCs w:val="24"/>
        </w:rPr>
        <w:t>Cvetković D</w:t>
      </w:r>
      <w:r w:rsidRPr="00581801">
        <w:rPr>
          <w:sz w:val="24"/>
          <w:szCs w:val="24"/>
        </w:rPr>
        <w:t>, Svetel M, Novaković I, Kostić VS (2015). Phenotype of non-c. 907_909delGAG mutations in TOR1A: DYT1 dystonia revisited. Parkinsonism &amp; related disorders 21(10):1256-9</w:t>
      </w:r>
      <w:r w:rsidR="00051AB2">
        <w:rPr>
          <w:sz w:val="24"/>
          <w:szCs w:val="24"/>
        </w:rPr>
        <w:t>.</w:t>
      </w:r>
    </w:p>
    <w:p w:rsidR="00581801" w:rsidRPr="00581801" w:rsidRDefault="00581801" w:rsidP="00581801">
      <w:pPr>
        <w:spacing w:after="120" w:line="320" w:lineRule="exact"/>
        <w:ind w:left="432" w:hanging="432"/>
        <w:jc w:val="both"/>
        <w:rPr>
          <w:sz w:val="24"/>
          <w:szCs w:val="24"/>
        </w:rPr>
      </w:pPr>
      <w:r w:rsidRPr="00581801">
        <w:rPr>
          <w:sz w:val="24"/>
          <w:szCs w:val="24"/>
        </w:rPr>
        <w:t xml:space="preserve">Vujić V, Rubinjoni L, Selaković S, </w:t>
      </w:r>
      <w:r w:rsidRPr="00581801">
        <w:rPr>
          <w:b/>
          <w:sz w:val="24"/>
          <w:szCs w:val="24"/>
        </w:rPr>
        <w:t>Cvetković D</w:t>
      </w:r>
      <w:r w:rsidRPr="00581801">
        <w:rPr>
          <w:sz w:val="24"/>
          <w:szCs w:val="24"/>
        </w:rPr>
        <w:t xml:space="preserve"> (2016) Small-scale variations in leaf shape under anthropogenic disturbance in dioecious forest forb </w:t>
      </w:r>
      <w:r w:rsidRPr="00581801">
        <w:rPr>
          <w:i/>
          <w:sz w:val="24"/>
          <w:szCs w:val="24"/>
        </w:rPr>
        <w:t>Mercu</w:t>
      </w:r>
      <w:bookmarkStart w:id="1" w:name="_GoBack"/>
      <w:bookmarkEnd w:id="1"/>
      <w:r w:rsidRPr="00581801">
        <w:rPr>
          <w:i/>
          <w:sz w:val="24"/>
          <w:szCs w:val="24"/>
        </w:rPr>
        <w:t>rialis perennis</w:t>
      </w:r>
      <w:r w:rsidRPr="00581801">
        <w:rPr>
          <w:sz w:val="24"/>
          <w:szCs w:val="24"/>
        </w:rPr>
        <w:t>: a geometric morphometric examination. Arch Biol Sci, DOI:10.2298/ABS151111011V</w:t>
      </w:r>
    </w:p>
    <w:p w:rsidR="00437F64" w:rsidRPr="00581801" w:rsidRDefault="00437F64" w:rsidP="00437F64">
      <w:pPr>
        <w:spacing w:after="120"/>
        <w:jc w:val="both"/>
        <w:rPr>
          <w:sz w:val="24"/>
          <w:szCs w:val="24"/>
        </w:rPr>
      </w:pPr>
    </w:p>
    <w:p w:rsidR="00437F64" w:rsidRPr="00DF6E54" w:rsidRDefault="00DF6E54" w:rsidP="00051AB2">
      <w:pPr>
        <w:spacing w:after="240"/>
        <w:jc w:val="both"/>
        <w:rPr>
          <w:i/>
          <w:sz w:val="24"/>
          <w:szCs w:val="24"/>
        </w:rPr>
      </w:pPr>
      <w:r>
        <w:rPr>
          <w:i/>
          <w:sz w:val="24"/>
          <w:szCs w:val="24"/>
        </w:rPr>
        <w:t xml:space="preserve">Poglavlja u monografijama međunarodnog i </w:t>
      </w:r>
      <w:r w:rsidR="00051AB2">
        <w:rPr>
          <w:i/>
          <w:sz w:val="24"/>
          <w:szCs w:val="24"/>
        </w:rPr>
        <w:t>nacionalnog</w:t>
      </w:r>
      <w:r>
        <w:rPr>
          <w:i/>
          <w:sz w:val="24"/>
          <w:szCs w:val="24"/>
        </w:rPr>
        <w:t xml:space="preserve"> značaja</w:t>
      </w:r>
    </w:p>
    <w:p w:rsidR="00A2728F" w:rsidRPr="00581801" w:rsidRDefault="00A2728F" w:rsidP="00DF6E54">
      <w:pPr>
        <w:spacing w:after="120" w:line="320" w:lineRule="exact"/>
        <w:ind w:left="432" w:hanging="432"/>
        <w:jc w:val="both"/>
        <w:rPr>
          <w:sz w:val="24"/>
          <w:szCs w:val="24"/>
          <w:lang w:val="sr-Latn-CS"/>
        </w:rPr>
      </w:pPr>
      <w:r w:rsidRPr="00581801">
        <w:rPr>
          <w:sz w:val="24"/>
          <w:szCs w:val="24"/>
        </w:rPr>
        <w:t xml:space="preserve">Novaković I, </w:t>
      </w:r>
      <w:r w:rsidRPr="00581801">
        <w:rPr>
          <w:b/>
          <w:sz w:val="24"/>
          <w:szCs w:val="24"/>
        </w:rPr>
        <w:t>Cvetković D</w:t>
      </w:r>
      <w:r w:rsidRPr="00581801">
        <w:rPr>
          <w:sz w:val="24"/>
          <w:szCs w:val="24"/>
        </w:rPr>
        <w:t>, Maksimović N (2011): Inherited Thrombophilia and the Risk of Vascular Events. In: Thrombophilia (ed. A. L. Tranquilli), ISBN 978-953-307-872-4, InTech, pp. 59-74.</w:t>
      </w:r>
    </w:p>
    <w:p w:rsidR="00A2728F" w:rsidRPr="00581801" w:rsidRDefault="00A2728F" w:rsidP="00DF6E54">
      <w:pPr>
        <w:spacing w:after="120" w:line="320" w:lineRule="exact"/>
        <w:ind w:left="432" w:hanging="432"/>
        <w:jc w:val="both"/>
        <w:rPr>
          <w:sz w:val="24"/>
          <w:szCs w:val="24"/>
          <w:lang w:val="sr-Latn-CS"/>
        </w:rPr>
      </w:pPr>
      <w:r w:rsidRPr="00581801">
        <w:rPr>
          <w:sz w:val="24"/>
          <w:szCs w:val="24"/>
          <w:lang w:val="sr-Latn-CS"/>
        </w:rPr>
        <w:t xml:space="preserve">Novaković I, Maksimović N, </w:t>
      </w:r>
      <w:r w:rsidRPr="00581801">
        <w:rPr>
          <w:b/>
          <w:sz w:val="24"/>
          <w:szCs w:val="24"/>
          <w:lang w:val="sr-Latn-CS"/>
        </w:rPr>
        <w:t>Cvetković D</w:t>
      </w:r>
      <w:r w:rsidRPr="00581801">
        <w:rPr>
          <w:sz w:val="24"/>
          <w:szCs w:val="24"/>
          <w:lang w:val="sr-Latn-CS"/>
        </w:rPr>
        <w:t xml:space="preserve"> (2012): Ethical principles in pharmacogenetics. In: Bioethics and Pharmacology: Ethics in Preclinical and Clinical Drug Development (eds. </w:t>
      </w:r>
      <w:r w:rsidRPr="00581801">
        <w:rPr>
          <w:sz w:val="24"/>
          <w:szCs w:val="24"/>
          <w:lang w:val="sr-Latn-CS"/>
        </w:rPr>
        <w:lastRenderedPageBreak/>
        <w:t>Turza K, Todorovic Z, Prostran M), ISBN: 978-81-7895-579-7, Transworld Research Network, pp. 51-57.</w:t>
      </w:r>
    </w:p>
    <w:p w:rsidR="00A2728F" w:rsidRDefault="00A2728F" w:rsidP="00FB3D35">
      <w:pPr>
        <w:spacing w:after="360" w:line="320" w:lineRule="exact"/>
        <w:ind w:left="432" w:hanging="432"/>
        <w:jc w:val="both"/>
        <w:rPr>
          <w:sz w:val="24"/>
          <w:szCs w:val="24"/>
          <w:lang w:val="en-GB"/>
        </w:rPr>
      </w:pPr>
      <w:r w:rsidRPr="00581801">
        <w:rPr>
          <w:sz w:val="24"/>
          <w:szCs w:val="24"/>
          <w:lang w:val="sr-Latn-CS"/>
        </w:rPr>
        <w:t xml:space="preserve">Novaković I, Maksimović N, </w:t>
      </w:r>
      <w:r w:rsidRPr="00581801">
        <w:rPr>
          <w:b/>
          <w:sz w:val="24"/>
          <w:szCs w:val="24"/>
          <w:lang w:val="sr-Latn-CS"/>
        </w:rPr>
        <w:t>Cvetković D</w:t>
      </w:r>
      <w:r w:rsidRPr="00581801">
        <w:rPr>
          <w:sz w:val="24"/>
          <w:szCs w:val="24"/>
          <w:lang w:val="sr-Latn-CS"/>
        </w:rPr>
        <w:t xml:space="preserve"> (2013): Pharmacogenetics and the Treatment of Thrombophilia. </w:t>
      </w:r>
      <w:r w:rsidRPr="00581801">
        <w:rPr>
          <w:sz w:val="24"/>
          <w:szCs w:val="24"/>
        </w:rPr>
        <w:t xml:space="preserve">In: Pregnancy Thrombophilia - The Unsuspected Risk </w:t>
      </w:r>
      <w:r w:rsidRPr="00581801">
        <w:rPr>
          <w:sz w:val="24"/>
          <w:szCs w:val="24"/>
          <w:lang w:val="en-GB"/>
        </w:rPr>
        <w:t xml:space="preserve">(ed. </w:t>
      </w:r>
      <w:r w:rsidRPr="00581801">
        <w:rPr>
          <w:sz w:val="24"/>
          <w:szCs w:val="24"/>
        </w:rPr>
        <w:t>P. Ivanov), ISBN 978-953-51-1199-3,</w:t>
      </w:r>
      <w:r w:rsidRPr="00581801">
        <w:rPr>
          <w:sz w:val="24"/>
          <w:szCs w:val="24"/>
          <w:lang w:val="en-GB"/>
        </w:rPr>
        <w:t xml:space="preserve"> InTech, </w:t>
      </w:r>
      <w:r w:rsidRPr="00581801">
        <w:rPr>
          <w:sz w:val="24"/>
          <w:szCs w:val="24"/>
          <w:lang w:val="sr-Latn-CS"/>
        </w:rPr>
        <w:t xml:space="preserve">DOI: 10.5772/56566, </w:t>
      </w:r>
      <w:r w:rsidRPr="00581801">
        <w:rPr>
          <w:sz w:val="24"/>
          <w:szCs w:val="24"/>
          <w:lang w:val="en-GB"/>
        </w:rPr>
        <w:t>pp. 67-81.</w:t>
      </w:r>
    </w:p>
    <w:p w:rsidR="00051AB2" w:rsidRPr="00051AB2" w:rsidRDefault="00051AB2" w:rsidP="00051AB2">
      <w:pPr>
        <w:spacing w:after="120" w:line="320" w:lineRule="exact"/>
        <w:ind w:left="432" w:hanging="432"/>
        <w:jc w:val="both"/>
        <w:rPr>
          <w:sz w:val="24"/>
          <w:szCs w:val="24"/>
          <w:lang w:val="fr-FR"/>
        </w:rPr>
      </w:pPr>
      <w:r w:rsidRPr="00051AB2">
        <w:rPr>
          <w:b/>
          <w:sz w:val="24"/>
          <w:szCs w:val="24"/>
          <w:lang w:val="sr-Latn-CS"/>
        </w:rPr>
        <w:t>Cvetković D</w:t>
      </w:r>
      <w:r w:rsidRPr="00051AB2">
        <w:rPr>
          <w:sz w:val="24"/>
          <w:szCs w:val="24"/>
          <w:lang w:val="sr-Latn-CS"/>
        </w:rPr>
        <w:t xml:space="preserve"> (1999): Porodične studije naslednih oboljenja i segregaciona analiza. U knjizi: </w:t>
      </w:r>
      <w:r w:rsidRPr="00051AB2">
        <w:rPr>
          <w:i/>
          <w:sz w:val="24"/>
          <w:szCs w:val="24"/>
          <w:lang w:val="sr-Latn-CS"/>
        </w:rPr>
        <w:t>Genetička osnova neuroloških bolesti</w:t>
      </w:r>
      <w:r w:rsidRPr="00051AB2">
        <w:rPr>
          <w:sz w:val="24"/>
          <w:szCs w:val="24"/>
          <w:lang w:val="sr-Latn-CS"/>
        </w:rPr>
        <w:t xml:space="preserve"> (urednici: VS Kostić, S Romac, S Apostolski), str. 16 - 22. </w:t>
      </w:r>
      <w:r w:rsidRPr="00051AB2">
        <w:rPr>
          <w:sz w:val="24"/>
          <w:szCs w:val="24"/>
          <w:lang w:val="fr-FR"/>
        </w:rPr>
        <w:t>Medicinski fak., CIBIF, Beograd.</w:t>
      </w:r>
    </w:p>
    <w:p w:rsidR="00051AB2" w:rsidRPr="00051AB2" w:rsidRDefault="00051AB2" w:rsidP="00051AB2">
      <w:pPr>
        <w:spacing w:after="120" w:line="320" w:lineRule="exact"/>
        <w:ind w:left="432" w:hanging="432"/>
        <w:jc w:val="both"/>
        <w:rPr>
          <w:sz w:val="24"/>
          <w:szCs w:val="24"/>
          <w:lang w:val="fr-FR"/>
        </w:rPr>
      </w:pPr>
      <w:r w:rsidRPr="00051AB2">
        <w:rPr>
          <w:sz w:val="24"/>
          <w:szCs w:val="24"/>
          <w:lang w:val="fr-FR"/>
        </w:rPr>
        <w:t xml:space="preserve">Svetel M, Dragašević N, </w:t>
      </w:r>
      <w:r w:rsidRPr="00051AB2">
        <w:rPr>
          <w:b/>
          <w:sz w:val="24"/>
          <w:szCs w:val="24"/>
          <w:lang w:val="fr-FR"/>
        </w:rPr>
        <w:t>Cvetković D</w:t>
      </w:r>
      <w:r w:rsidRPr="00051AB2">
        <w:rPr>
          <w:sz w:val="24"/>
          <w:szCs w:val="24"/>
          <w:lang w:val="fr-FR"/>
        </w:rPr>
        <w:t xml:space="preserve">, Kostić VS (1999): Genetika distonija. U knjizi: </w:t>
      </w:r>
      <w:r w:rsidRPr="00051AB2">
        <w:rPr>
          <w:i/>
          <w:sz w:val="24"/>
          <w:szCs w:val="24"/>
          <w:lang w:val="fr-FR"/>
        </w:rPr>
        <w:t>Genetička osnova neuroloških bolesti</w:t>
      </w:r>
      <w:r w:rsidRPr="00051AB2">
        <w:rPr>
          <w:sz w:val="24"/>
          <w:szCs w:val="24"/>
          <w:lang w:val="fr-FR"/>
        </w:rPr>
        <w:t xml:space="preserve"> (urednici: VS Kostić, S Romac, S Apostolski), str. 90 - 96. Medicinski fak., CIBIF, Beograd.</w:t>
      </w:r>
    </w:p>
    <w:p w:rsidR="00051AB2" w:rsidRPr="00051AB2" w:rsidRDefault="00051AB2" w:rsidP="00051AB2">
      <w:pPr>
        <w:spacing w:after="120" w:line="320" w:lineRule="exact"/>
        <w:ind w:left="432" w:hanging="432"/>
        <w:jc w:val="both"/>
        <w:rPr>
          <w:sz w:val="24"/>
          <w:szCs w:val="24"/>
          <w:lang w:val="fr-FR"/>
        </w:rPr>
      </w:pPr>
      <w:r w:rsidRPr="00051AB2">
        <w:rPr>
          <w:sz w:val="24"/>
          <w:szCs w:val="24"/>
          <w:lang w:val="fr-FR"/>
        </w:rPr>
        <w:t xml:space="preserve">Kostić, V. S., </w:t>
      </w:r>
      <w:r w:rsidRPr="00051AB2">
        <w:rPr>
          <w:b/>
          <w:sz w:val="24"/>
          <w:szCs w:val="24"/>
          <w:lang w:val="fr-FR"/>
        </w:rPr>
        <w:t>Cvetković, D</w:t>
      </w:r>
      <w:r w:rsidRPr="00051AB2">
        <w:rPr>
          <w:sz w:val="24"/>
          <w:szCs w:val="24"/>
          <w:lang w:val="fr-FR"/>
        </w:rPr>
        <w:t xml:space="preserve">., Svetel, M., Šternić, N., Smiljanić, D. (1999): Genetička osnova parkinsonizma. U knjizi: </w:t>
      </w:r>
      <w:r w:rsidRPr="00051AB2">
        <w:rPr>
          <w:i/>
          <w:sz w:val="24"/>
          <w:szCs w:val="24"/>
          <w:lang w:val="fr-FR"/>
        </w:rPr>
        <w:t>Genetička osnova neuroloških bolesti</w:t>
      </w:r>
      <w:r w:rsidRPr="00051AB2">
        <w:rPr>
          <w:sz w:val="24"/>
          <w:szCs w:val="24"/>
          <w:lang w:val="fr-FR"/>
        </w:rPr>
        <w:t xml:space="preserve"> (urednici: VS Kostić, S Romac, S Apostolski), str. 128 - 138. Medicinski fak., CIBIF, Beograd.</w:t>
      </w:r>
    </w:p>
    <w:p w:rsidR="00051AB2" w:rsidRPr="00051AB2" w:rsidRDefault="00051AB2" w:rsidP="00051AB2">
      <w:pPr>
        <w:spacing w:after="120" w:line="320" w:lineRule="exact"/>
        <w:ind w:left="432" w:hanging="432"/>
        <w:jc w:val="both"/>
        <w:rPr>
          <w:sz w:val="24"/>
          <w:szCs w:val="24"/>
          <w:lang w:val="sr-Cyrl-CS"/>
        </w:rPr>
      </w:pPr>
      <w:r w:rsidRPr="00051AB2">
        <w:rPr>
          <w:b/>
          <w:sz w:val="24"/>
          <w:szCs w:val="24"/>
          <w:lang w:val="sv-SE"/>
        </w:rPr>
        <w:t>Cvetkovi</w:t>
      </w:r>
      <w:r w:rsidRPr="00051AB2">
        <w:rPr>
          <w:b/>
          <w:sz w:val="24"/>
          <w:szCs w:val="24"/>
          <w:lang w:val="sr-Cyrl-CS"/>
        </w:rPr>
        <w:t xml:space="preserve">ć </w:t>
      </w:r>
      <w:r w:rsidRPr="00051AB2">
        <w:rPr>
          <w:b/>
          <w:sz w:val="24"/>
          <w:szCs w:val="24"/>
          <w:lang w:val="sv-SE"/>
        </w:rPr>
        <w:t>D</w:t>
      </w:r>
      <w:r w:rsidRPr="00051AB2">
        <w:rPr>
          <w:sz w:val="24"/>
          <w:szCs w:val="24"/>
          <w:lang w:val="sr-Cyrl-CS"/>
        </w:rPr>
        <w:t xml:space="preserve"> (2006): </w:t>
      </w:r>
      <w:r w:rsidRPr="00051AB2">
        <w:rPr>
          <w:sz w:val="24"/>
          <w:szCs w:val="24"/>
          <w:lang w:val="sv-SE"/>
        </w:rPr>
        <w:t>Genetika</w:t>
      </w:r>
      <w:r w:rsidRPr="00051AB2">
        <w:rPr>
          <w:sz w:val="24"/>
          <w:szCs w:val="24"/>
          <w:lang w:val="sr-Cyrl-CS"/>
        </w:rPr>
        <w:t xml:space="preserve"> </w:t>
      </w:r>
      <w:r w:rsidRPr="00051AB2">
        <w:rPr>
          <w:sz w:val="24"/>
          <w:szCs w:val="24"/>
          <w:lang w:val="sv-SE"/>
        </w:rPr>
        <w:t>i</w:t>
      </w:r>
      <w:r w:rsidRPr="00051AB2">
        <w:rPr>
          <w:sz w:val="24"/>
          <w:szCs w:val="24"/>
          <w:lang w:val="sr-Cyrl-CS"/>
        </w:rPr>
        <w:t xml:space="preserve"> </w:t>
      </w:r>
      <w:r w:rsidRPr="00051AB2">
        <w:rPr>
          <w:sz w:val="24"/>
          <w:szCs w:val="24"/>
          <w:lang w:val="sv-SE"/>
        </w:rPr>
        <w:t>evolucija</w:t>
      </w:r>
      <w:r w:rsidRPr="00051AB2">
        <w:rPr>
          <w:sz w:val="24"/>
          <w:szCs w:val="24"/>
          <w:lang w:val="sr-Cyrl-CS"/>
        </w:rPr>
        <w:t xml:space="preserve"> </w:t>
      </w:r>
      <w:r w:rsidRPr="00051AB2">
        <w:rPr>
          <w:sz w:val="24"/>
          <w:szCs w:val="24"/>
          <w:lang w:val="sv-SE"/>
        </w:rPr>
        <w:t>kolornog</w:t>
      </w:r>
      <w:r w:rsidRPr="00051AB2">
        <w:rPr>
          <w:sz w:val="24"/>
          <w:szCs w:val="24"/>
          <w:lang w:val="sr-Cyrl-CS"/>
        </w:rPr>
        <w:t xml:space="preserve"> </w:t>
      </w:r>
      <w:r w:rsidRPr="00051AB2">
        <w:rPr>
          <w:sz w:val="24"/>
          <w:szCs w:val="24"/>
          <w:lang w:val="sv-SE"/>
        </w:rPr>
        <w:t>vida</w:t>
      </w:r>
      <w:r w:rsidRPr="00051AB2">
        <w:rPr>
          <w:sz w:val="24"/>
          <w:szCs w:val="24"/>
          <w:lang w:val="sr-Cyrl-CS"/>
        </w:rPr>
        <w:t xml:space="preserve">. </w:t>
      </w:r>
      <w:r w:rsidRPr="00051AB2">
        <w:rPr>
          <w:sz w:val="24"/>
          <w:szCs w:val="24"/>
          <w:lang w:val="fr-FR"/>
        </w:rPr>
        <w:t>U</w:t>
      </w:r>
      <w:r w:rsidRPr="00051AB2">
        <w:rPr>
          <w:sz w:val="24"/>
          <w:szCs w:val="24"/>
          <w:lang w:val="sr-Cyrl-CS"/>
        </w:rPr>
        <w:t xml:space="preserve"> </w:t>
      </w:r>
      <w:r w:rsidRPr="00051AB2">
        <w:rPr>
          <w:sz w:val="24"/>
          <w:szCs w:val="24"/>
          <w:lang w:val="fr-FR"/>
        </w:rPr>
        <w:t>monografiji</w:t>
      </w:r>
      <w:r w:rsidRPr="00051AB2">
        <w:rPr>
          <w:sz w:val="24"/>
          <w:szCs w:val="24"/>
          <w:lang w:val="sr-Cyrl-CS"/>
        </w:rPr>
        <w:t xml:space="preserve">: </w:t>
      </w:r>
      <w:r w:rsidRPr="00051AB2">
        <w:rPr>
          <w:i/>
          <w:sz w:val="24"/>
          <w:szCs w:val="24"/>
          <w:lang w:val="fr-FR"/>
        </w:rPr>
        <w:t>Kolorni</w:t>
      </w:r>
      <w:r w:rsidRPr="00051AB2">
        <w:rPr>
          <w:i/>
          <w:sz w:val="24"/>
          <w:szCs w:val="24"/>
          <w:lang w:val="sr-Cyrl-CS"/>
        </w:rPr>
        <w:t xml:space="preserve"> </w:t>
      </w:r>
      <w:r w:rsidRPr="00051AB2">
        <w:rPr>
          <w:i/>
          <w:sz w:val="24"/>
          <w:szCs w:val="24"/>
          <w:lang w:val="fr-FR"/>
        </w:rPr>
        <w:t>vid</w:t>
      </w:r>
      <w:r w:rsidRPr="00051AB2">
        <w:rPr>
          <w:i/>
          <w:sz w:val="24"/>
          <w:szCs w:val="24"/>
          <w:lang w:val="sr-Cyrl-CS"/>
        </w:rPr>
        <w:t xml:space="preserve"> – </w:t>
      </w:r>
      <w:r w:rsidRPr="00051AB2">
        <w:rPr>
          <w:i/>
          <w:sz w:val="24"/>
          <w:szCs w:val="24"/>
          <w:lang w:val="fr-FR"/>
        </w:rPr>
        <w:t>savremeni</w:t>
      </w:r>
      <w:r w:rsidRPr="00051AB2">
        <w:rPr>
          <w:i/>
          <w:sz w:val="24"/>
          <w:szCs w:val="24"/>
          <w:lang w:val="sr-Cyrl-CS"/>
        </w:rPr>
        <w:t xml:space="preserve"> </w:t>
      </w:r>
      <w:r w:rsidRPr="00051AB2">
        <w:rPr>
          <w:i/>
          <w:sz w:val="24"/>
          <w:szCs w:val="24"/>
          <w:lang w:val="fr-FR"/>
        </w:rPr>
        <w:t>aspekt</w:t>
      </w:r>
      <w:r w:rsidRPr="00051AB2">
        <w:rPr>
          <w:sz w:val="24"/>
          <w:szCs w:val="24"/>
          <w:lang w:val="sr-Cyrl-CS"/>
        </w:rPr>
        <w:t xml:space="preserve"> (</w:t>
      </w:r>
      <w:r w:rsidRPr="00051AB2">
        <w:rPr>
          <w:sz w:val="24"/>
          <w:szCs w:val="24"/>
          <w:lang w:val="fr-FR"/>
        </w:rPr>
        <w:t>urednik</w:t>
      </w:r>
      <w:r w:rsidRPr="00051AB2">
        <w:rPr>
          <w:sz w:val="24"/>
          <w:szCs w:val="24"/>
          <w:lang w:val="sr-Cyrl-CS"/>
        </w:rPr>
        <w:t xml:space="preserve"> </w:t>
      </w:r>
      <w:r w:rsidRPr="00051AB2">
        <w:rPr>
          <w:sz w:val="24"/>
          <w:szCs w:val="24"/>
          <w:lang w:val="fr-FR"/>
        </w:rPr>
        <w:t>D</w:t>
      </w:r>
      <w:r w:rsidRPr="00051AB2">
        <w:rPr>
          <w:sz w:val="24"/>
          <w:szCs w:val="24"/>
          <w:lang w:val="sr-Cyrl-CS"/>
        </w:rPr>
        <w:t xml:space="preserve"> </w:t>
      </w:r>
      <w:r w:rsidRPr="00051AB2">
        <w:rPr>
          <w:sz w:val="24"/>
          <w:szCs w:val="24"/>
          <w:lang w:val="fr-FR"/>
        </w:rPr>
        <w:t>Cvetkovi</w:t>
      </w:r>
      <w:r w:rsidRPr="00051AB2">
        <w:rPr>
          <w:sz w:val="24"/>
          <w:szCs w:val="24"/>
          <w:lang w:val="sr-Cyrl-CS"/>
        </w:rPr>
        <w:t xml:space="preserve">ć). </w:t>
      </w:r>
      <w:r w:rsidRPr="00051AB2">
        <w:rPr>
          <w:sz w:val="24"/>
          <w:szCs w:val="24"/>
          <w:lang w:val="fr-FR"/>
        </w:rPr>
        <w:t>CIBID</w:t>
      </w:r>
      <w:r w:rsidRPr="00051AB2">
        <w:rPr>
          <w:sz w:val="24"/>
          <w:szCs w:val="24"/>
          <w:lang w:val="sr-Cyrl-CS"/>
        </w:rPr>
        <w:t xml:space="preserve">, </w:t>
      </w:r>
      <w:r w:rsidRPr="00051AB2">
        <w:rPr>
          <w:sz w:val="24"/>
          <w:szCs w:val="24"/>
          <w:lang w:val="fr-FR"/>
        </w:rPr>
        <w:t>Beograd</w:t>
      </w:r>
      <w:r w:rsidRPr="00051AB2">
        <w:rPr>
          <w:sz w:val="24"/>
          <w:szCs w:val="24"/>
          <w:lang w:val="sr-Cyrl-CS"/>
        </w:rPr>
        <w:t xml:space="preserve"> (</w:t>
      </w:r>
      <w:r w:rsidRPr="00051AB2">
        <w:rPr>
          <w:sz w:val="24"/>
          <w:szCs w:val="24"/>
        </w:rPr>
        <w:t>I</w:t>
      </w:r>
      <w:r w:rsidRPr="00051AB2">
        <w:rPr>
          <w:sz w:val="24"/>
          <w:szCs w:val="24"/>
          <w:lang w:val="sr-Latn-CS"/>
        </w:rPr>
        <w:t>SBN 86-7117-157-4).</w:t>
      </w:r>
    </w:p>
    <w:p w:rsidR="00051AB2" w:rsidRPr="00581801" w:rsidRDefault="00051AB2" w:rsidP="00DF6E54">
      <w:pPr>
        <w:spacing w:after="120" w:line="320" w:lineRule="exact"/>
        <w:ind w:left="432" w:hanging="432"/>
        <w:jc w:val="both"/>
        <w:rPr>
          <w:sz w:val="24"/>
          <w:szCs w:val="24"/>
          <w:lang w:val="sr-Latn-CS"/>
        </w:rPr>
      </w:pPr>
    </w:p>
    <w:p w:rsidR="00A2728F" w:rsidRPr="00581801" w:rsidRDefault="00A2728F" w:rsidP="00DF6E54">
      <w:pPr>
        <w:spacing w:after="120" w:line="320" w:lineRule="exact"/>
        <w:ind w:left="432" w:hanging="432"/>
        <w:rPr>
          <w:sz w:val="24"/>
          <w:szCs w:val="24"/>
        </w:rPr>
      </w:pPr>
    </w:p>
    <w:sectPr w:rsidR="00A2728F" w:rsidRPr="00581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Yu Times">
    <w:altName w:val="Courier New"/>
    <w:charset w:val="00"/>
    <w:family w:val="roman"/>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47F7A"/>
    <w:multiLevelType w:val="hybridMultilevel"/>
    <w:tmpl w:val="BE181788"/>
    <w:lvl w:ilvl="0" w:tplc="1A66044A">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28F"/>
    <w:rsid w:val="00051AB2"/>
    <w:rsid w:val="00081E17"/>
    <w:rsid w:val="000972C2"/>
    <w:rsid w:val="00437F64"/>
    <w:rsid w:val="00581801"/>
    <w:rsid w:val="007F4DA5"/>
    <w:rsid w:val="00A2728F"/>
    <w:rsid w:val="00DF6E54"/>
    <w:rsid w:val="00FB3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28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A2728F"/>
    <w:pPr>
      <w:suppressAutoHyphens/>
      <w:spacing w:line="360" w:lineRule="auto"/>
      <w:jc w:val="center"/>
    </w:pPr>
    <w:rPr>
      <w:rFonts w:ascii="Yu Times" w:hAnsi="Yu Times"/>
      <w:b/>
      <w:bCs/>
      <w:kern w:val="2"/>
      <w:sz w:val="36"/>
      <w:szCs w:val="36"/>
      <w:lang w:eastAsia="ar-SA"/>
    </w:rPr>
  </w:style>
  <w:style w:type="character" w:customStyle="1" w:styleId="TitleChar">
    <w:name w:val="Title Char"/>
    <w:basedOn w:val="DefaultParagraphFont"/>
    <w:link w:val="Title"/>
    <w:rsid w:val="00A2728F"/>
    <w:rPr>
      <w:rFonts w:ascii="Yu Times" w:eastAsia="Times New Roman" w:hAnsi="Yu Times" w:cs="Times New Roman"/>
      <w:b/>
      <w:bCs/>
      <w:kern w:val="2"/>
      <w:sz w:val="36"/>
      <w:szCs w:val="36"/>
      <w:lang w:eastAsia="ar-SA"/>
    </w:rPr>
  </w:style>
  <w:style w:type="paragraph" w:styleId="Subtitle">
    <w:name w:val="Subtitle"/>
    <w:basedOn w:val="Normal"/>
    <w:next w:val="Normal"/>
    <w:link w:val="SubtitleChar"/>
    <w:uiPriority w:val="11"/>
    <w:qFormat/>
    <w:rsid w:val="00A272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2728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A272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28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A2728F"/>
    <w:pPr>
      <w:suppressAutoHyphens/>
      <w:spacing w:line="360" w:lineRule="auto"/>
      <w:jc w:val="center"/>
    </w:pPr>
    <w:rPr>
      <w:rFonts w:ascii="Yu Times" w:hAnsi="Yu Times"/>
      <w:b/>
      <w:bCs/>
      <w:kern w:val="2"/>
      <w:sz w:val="36"/>
      <w:szCs w:val="36"/>
      <w:lang w:eastAsia="ar-SA"/>
    </w:rPr>
  </w:style>
  <w:style w:type="character" w:customStyle="1" w:styleId="TitleChar">
    <w:name w:val="Title Char"/>
    <w:basedOn w:val="DefaultParagraphFont"/>
    <w:link w:val="Title"/>
    <w:rsid w:val="00A2728F"/>
    <w:rPr>
      <w:rFonts w:ascii="Yu Times" w:eastAsia="Times New Roman" w:hAnsi="Yu Times" w:cs="Times New Roman"/>
      <w:b/>
      <w:bCs/>
      <w:kern w:val="2"/>
      <w:sz w:val="36"/>
      <w:szCs w:val="36"/>
      <w:lang w:eastAsia="ar-SA"/>
    </w:rPr>
  </w:style>
  <w:style w:type="paragraph" w:styleId="Subtitle">
    <w:name w:val="Subtitle"/>
    <w:basedOn w:val="Normal"/>
    <w:next w:val="Normal"/>
    <w:link w:val="SubtitleChar"/>
    <w:uiPriority w:val="11"/>
    <w:qFormat/>
    <w:rsid w:val="00A272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2728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A27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Dragana</cp:lastModifiedBy>
  <cp:revision>8</cp:revision>
  <dcterms:created xsi:type="dcterms:W3CDTF">2016-04-10T16:36:00Z</dcterms:created>
  <dcterms:modified xsi:type="dcterms:W3CDTF">2016-04-10T19:02:00Z</dcterms:modified>
</cp:coreProperties>
</file>